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1DF01" w14:textId="77777777" w:rsidR="00D40900" w:rsidRPr="00066D6C" w:rsidRDefault="00D40900" w:rsidP="00D40900">
      <w:pPr>
        <w:jc w:val="center"/>
        <w:rPr>
          <w:b/>
          <w:iCs/>
        </w:rPr>
      </w:pPr>
      <w:bookmarkStart w:id="0" w:name="_GoBack"/>
      <w:bookmarkEnd w:id="0"/>
      <w:r w:rsidRPr="00066D6C">
        <w:rPr>
          <w:b/>
          <w:iCs/>
        </w:rPr>
        <w:t>TEXTO DEFINITIVO APROBADO EN LA SESIÓN DE LA COMISIÓN TERCERA PERMANENTE DE HACIENDA Y CRÉDITO PÚBLICO</w:t>
      </w:r>
    </w:p>
    <w:p w14:paraId="2475109E" w14:textId="6798BA63" w:rsidR="00D40900" w:rsidRPr="00066D6C" w:rsidRDefault="00D40900" w:rsidP="00D40900">
      <w:pPr>
        <w:jc w:val="center"/>
        <w:rPr>
          <w:b/>
          <w:iCs/>
        </w:rPr>
      </w:pPr>
      <w:r w:rsidRPr="00066D6C">
        <w:rPr>
          <w:b/>
          <w:iCs/>
        </w:rPr>
        <w:t xml:space="preserve">REALIZADA EL DÍA </w:t>
      </w:r>
      <w:r w:rsidR="000E63D8" w:rsidRPr="00066D6C">
        <w:rPr>
          <w:b/>
          <w:iCs/>
        </w:rPr>
        <w:t>LUN</w:t>
      </w:r>
      <w:r w:rsidRPr="00066D6C">
        <w:rPr>
          <w:b/>
          <w:iCs/>
        </w:rPr>
        <w:t xml:space="preserve">ES 2 DE </w:t>
      </w:r>
      <w:r w:rsidR="008723BD" w:rsidRPr="00066D6C">
        <w:rPr>
          <w:b/>
          <w:iCs/>
        </w:rPr>
        <w:t>JUNI</w:t>
      </w:r>
      <w:r w:rsidRPr="00066D6C">
        <w:rPr>
          <w:b/>
          <w:iCs/>
        </w:rPr>
        <w:t>O DE 2025</w:t>
      </w:r>
    </w:p>
    <w:p w14:paraId="1CE639B7" w14:textId="1764981A" w:rsidR="004D0443" w:rsidRPr="00066D6C" w:rsidRDefault="00D40900" w:rsidP="008723BD">
      <w:pPr>
        <w:tabs>
          <w:tab w:val="left" w:pos="3119"/>
        </w:tabs>
        <w:jc w:val="both"/>
        <w:rPr>
          <w:b/>
          <w:iCs/>
        </w:rPr>
      </w:pPr>
      <w:r w:rsidRPr="00066D6C">
        <w:rPr>
          <w:b/>
          <w:lang w:val="es-CO"/>
        </w:rPr>
        <w:t xml:space="preserve"> </w:t>
      </w:r>
    </w:p>
    <w:p w14:paraId="3A26A1F0" w14:textId="1B805381" w:rsidR="008723BD" w:rsidRPr="00066D6C" w:rsidRDefault="008723BD" w:rsidP="008723BD">
      <w:pPr>
        <w:jc w:val="center"/>
        <w:rPr>
          <w:b/>
          <w:color w:val="000000"/>
        </w:rPr>
      </w:pPr>
      <w:bookmarkStart w:id="1" w:name="_heading=h.kjhb6djejv4e" w:colFirst="0" w:colLast="0"/>
      <w:bookmarkEnd w:id="1"/>
      <w:r w:rsidRPr="00066D6C">
        <w:rPr>
          <w:b/>
          <w:color w:val="000000"/>
        </w:rPr>
        <w:t>Proyecto de Acuerdo No 4</w:t>
      </w:r>
      <w:r w:rsidR="00667CD2" w:rsidRPr="00066D6C">
        <w:rPr>
          <w:b/>
          <w:color w:val="000000"/>
        </w:rPr>
        <w:t>16</w:t>
      </w:r>
      <w:r w:rsidRPr="00066D6C">
        <w:rPr>
          <w:b/>
          <w:color w:val="000000"/>
        </w:rPr>
        <w:t xml:space="preserve"> de 202</w:t>
      </w:r>
      <w:r w:rsidRPr="00066D6C">
        <w:rPr>
          <w:b/>
        </w:rPr>
        <w:t>5</w:t>
      </w:r>
    </w:p>
    <w:p w14:paraId="771F4375" w14:textId="77777777" w:rsidR="008723BD" w:rsidRPr="00066D6C" w:rsidRDefault="008723BD" w:rsidP="008723BD">
      <w:pPr>
        <w:pBdr>
          <w:top w:val="nil"/>
          <w:left w:val="nil"/>
          <w:bottom w:val="nil"/>
          <w:right w:val="nil"/>
          <w:between w:val="nil"/>
        </w:pBdr>
        <w:jc w:val="center"/>
        <w:rPr>
          <w:b/>
        </w:rPr>
      </w:pPr>
    </w:p>
    <w:p w14:paraId="072FBE67" w14:textId="77777777" w:rsidR="00066D6C" w:rsidRPr="00066D6C" w:rsidRDefault="00066D6C" w:rsidP="00066D6C">
      <w:pPr>
        <w:ind w:left="402" w:right="546" w:hanging="1"/>
        <w:jc w:val="center"/>
        <w:rPr>
          <w:b/>
        </w:rPr>
      </w:pPr>
      <w:r w:rsidRPr="00066D6C">
        <w:rPr>
          <w:b/>
        </w:rPr>
        <w:t>"POR</w:t>
      </w:r>
      <w:r w:rsidRPr="00066D6C">
        <w:rPr>
          <w:b/>
          <w:spacing w:val="-4"/>
        </w:rPr>
        <w:t xml:space="preserve"> </w:t>
      </w:r>
      <w:r w:rsidRPr="00066D6C">
        <w:rPr>
          <w:b/>
        </w:rPr>
        <w:t>EL</w:t>
      </w:r>
      <w:r w:rsidRPr="00066D6C">
        <w:rPr>
          <w:b/>
          <w:spacing w:val="-6"/>
        </w:rPr>
        <w:t xml:space="preserve"> </w:t>
      </w:r>
      <w:r w:rsidRPr="00066D6C">
        <w:rPr>
          <w:b/>
        </w:rPr>
        <w:t>CUAL</w:t>
      </w:r>
      <w:r w:rsidRPr="00066D6C">
        <w:rPr>
          <w:b/>
          <w:spacing w:val="-4"/>
        </w:rPr>
        <w:t xml:space="preserve"> </w:t>
      </w:r>
      <w:r w:rsidRPr="00066D6C">
        <w:rPr>
          <w:b/>
        </w:rPr>
        <w:t>SE</w:t>
      </w:r>
      <w:r w:rsidRPr="00066D6C">
        <w:rPr>
          <w:b/>
          <w:spacing w:val="-5"/>
        </w:rPr>
        <w:t xml:space="preserve"> </w:t>
      </w:r>
      <w:r w:rsidRPr="00066D6C">
        <w:rPr>
          <w:b/>
        </w:rPr>
        <w:t>ESTABLECEN</w:t>
      </w:r>
      <w:r w:rsidRPr="00066D6C">
        <w:rPr>
          <w:b/>
          <w:spacing w:val="-4"/>
        </w:rPr>
        <w:t xml:space="preserve"> </w:t>
      </w:r>
      <w:r w:rsidRPr="00066D6C">
        <w:rPr>
          <w:b/>
        </w:rPr>
        <w:t>LINEAMIENTOS</w:t>
      </w:r>
      <w:r w:rsidRPr="00066D6C">
        <w:rPr>
          <w:b/>
          <w:spacing w:val="-4"/>
        </w:rPr>
        <w:t xml:space="preserve"> </w:t>
      </w:r>
      <w:r w:rsidRPr="00066D6C">
        <w:rPr>
          <w:b/>
        </w:rPr>
        <w:t>PARA</w:t>
      </w:r>
      <w:r w:rsidRPr="00066D6C">
        <w:rPr>
          <w:b/>
          <w:spacing w:val="-8"/>
        </w:rPr>
        <w:t xml:space="preserve"> </w:t>
      </w:r>
      <w:r w:rsidRPr="00066D6C">
        <w:rPr>
          <w:b/>
        </w:rPr>
        <w:t>SOSTENIBILIDAD</w:t>
      </w:r>
      <w:r w:rsidRPr="00066D6C">
        <w:rPr>
          <w:b/>
          <w:spacing w:val="-4"/>
        </w:rPr>
        <w:t xml:space="preserve"> </w:t>
      </w:r>
      <w:r w:rsidRPr="00066D6C">
        <w:rPr>
          <w:b/>
        </w:rPr>
        <w:t>Y SANEAMIENTO DE OBLIGACIONES DE LOS VIVANDEROS, VIVANDERAS Y COMERCIANTES</w:t>
      </w:r>
      <w:r w:rsidRPr="00066D6C">
        <w:rPr>
          <w:b/>
          <w:spacing w:val="-3"/>
        </w:rPr>
        <w:t xml:space="preserve"> </w:t>
      </w:r>
      <w:r w:rsidRPr="00066D6C">
        <w:rPr>
          <w:b/>
        </w:rPr>
        <w:t>DEL</w:t>
      </w:r>
      <w:r w:rsidRPr="00066D6C">
        <w:rPr>
          <w:b/>
          <w:spacing w:val="-3"/>
        </w:rPr>
        <w:t xml:space="preserve"> </w:t>
      </w:r>
      <w:r w:rsidRPr="00066D6C">
        <w:rPr>
          <w:b/>
        </w:rPr>
        <w:t>SISTEMA</w:t>
      </w:r>
      <w:r w:rsidRPr="00066D6C">
        <w:rPr>
          <w:b/>
          <w:spacing w:val="-8"/>
        </w:rPr>
        <w:t xml:space="preserve"> </w:t>
      </w:r>
      <w:r w:rsidRPr="00066D6C">
        <w:rPr>
          <w:b/>
        </w:rPr>
        <w:t>DISTRITAL</w:t>
      </w:r>
      <w:r w:rsidRPr="00066D6C">
        <w:rPr>
          <w:b/>
          <w:spacing w:val="-3"/>
        </w:rPr>
        <w:t xml:space="preserve"> </w:t>
      </w:r>
      <w:r w:rsidRPr="00066D6C">
        <w:rPr>
          <w:b/>
        </w:rPr>
        <w:t>DE</w:t>
      </w:r>
      <w:r w:rsidRPr="00066D6C">
        <w:rPr>
          <w:b/>
          <w:spacing w:val="-3"/>
        </w:rPr>
        <w:t xml:space="preserve"> </w:t>
      </w:r>
      <w:r w:rsidRPr="00066D6C">
        <w:rPr>
          <w:b/>
        </w:rPr>
        <w:t>PLAZAS</w:t>
      </w:r>
      <w:r w:rsidRPr="00066D6C">
        <w:rPr>
          <w:b/>
          <w:spacing w:val="-3"/>
        </w:rPr>
        <w:t xml:space="preserve"> </w:t>
      </w:r>
      <w:r w:rsidRPr="00066D6C">
        <w:rPr>
          <w:b/>
        </w:rPr>
        <w:t>DE</w:t>
      </w:r>
      <w:r w:rsidRPr="00066D6C">
        <w:rPr>
          <w:b/>
          <w:spacing w:val="-3"/>
        </w:rPr>
        <w:t xml:space="preserve"> </w:t>
      </w:r>
      <w:r w:rsidRPr="00066D6C">
        <w:rPr>
          <w:b/>
        </w:rPr>
        <w:t>MERCADO,</w:t>
      </w:r>
      <w:r w:rsidRPr="00066D6C">
        <w:rPr>
          <w:b/>
          <w:spacing w:val="-4"/>
        </w:rPr>
        <w:t xml:space="preserve"> </w:t>
      </w:r>
      <w:r w:rsidRPr="00066D6C">
        <w:rPr>
          <w:b/>
        </w:rPr>
        <w:t>Y</w:t>
      </w:r>
      <w:r w:rsidRPr="00066D6C">
        <w:rPr>
          <w:b/>
          <w:spacing w:val="-3"/>
        </w:rPr>
        <w:t xml:space="preserve"> </w:t>
      </w:r>
      <w:r w:rsidRPr="00066D6C">
        <w:rPr>
          <w:b/>
        </w:rPr>
        <w:t>SE DICTAN OTRAS DISPOSICIONES"</w:t>
      </w:r>
    </w:p>
    <w:p w14:paraId="4DA81E7A" w14:textId="77777777" w:rsidR="00066D6C" w:rsidRPr="00066D6C" w:rsidRDefault="00066D6C" w:rsidP="00066D6C">
      <w:pPr>
        <w:pStyle w:val="Textoindependiente"/>
        <w:spacing w:before="3"/>
        <w:rPr>
          <w:rFonts w:ascii="Arial" w:hAnsi="Arial" w:cs="Arial"/>
          <w:b/>
          <w:sz w:val="24"/>
          <w:szCs w:val="24"/>
        </w:rPr>
      </w:pPr>
    </w:p>
    <w:p w14:paraId="45A61CD7" w14:textId="1DA2756D" w:rsidR="00066D6C" w:rsidRPr="00066D6C" w:rsidRDefault="00066D6C" w:rsidP="00066D6C">
      <w:pPr>
        <w:pStyle w:val="Textoindependiente"/>
        <w:ind w:left="3" w:right="143"/>
        <w:jc w:val="center"/>
        <w:rPr>
          <w:rFonts w:ascii="Arial" w:hAnsi="Arial" w:cs="Arial"/>
          <w:sz w:val="24"/>
          <w:szCs w:val="24"/>
        </w:rPr>
      </w:pPr>
      <w:r w:rsidRPr="00066D6C">
        <w:rPr>
          <w:rFonts w:ascii="Arial" w:hAnsi="Arial" w:cs="Arial"/>
          <w:sz w:val="24"/>
          <w:szCs w:val="24"/>
        </w:rPr>
        <w:t>En</w:t>
      </w:r>
      <w:r w:rsidRPr="00066D6C">
        <w:rPr>
          <w:rFonts w:ascii="Arial" w:hAnsi="Arial" w:cs="Arial"/>
          <w:spacing w:val="-2"/>
          <w:sz w:val="24"/>
          <w:szCs w:val="24"/>
        </w:rPr>
        <w:t xml:space="preserve"> </w:t>
      </w:r>
      <w:r w:rsidRPr="00066D6C">
        <w:rPr>
          <w:rFonts w:ascii="Arial" w:hAnsi="Arial" w:cs="Arial"/>
          <w:sz w:val="24"/>
          <w:szCs w:val="24"/>
        </w:rPr>
        <w:t>uso</w:t>
      </w:r>
      <w:r w:rsidRPr="00066D6C">
        <w:rPr>
          <w:rFonts w:ascii="Arial" w:hAnsi="Arial" w:cs="Arial"/>
          <w:spacing w:val="-2"/>
          <w:sz w:val="24"/>
          <w:szCs w:val="24"/>
        </w:rPr>
        <w:t xml:space="preserve"> </w:t>
      </w:r>
      <w:r w:rsidRPr="00066D6C">
        <w:rPr>
          <w:rFonts w:ascii="Arial" w:hAnsi="Arial" w:cs="Arial"/>
          <w:sz w:val="24"/>
          <w:szCs w:val="24"/>
        </w:rPr>
        <w:t>de</w:t>
      </w:r>
      <w:r w:rsidRPr="00066D6C">
        <w:rPr>
          <w:rFonts w:ascii="Arial" w:hAnsi="Arial" w:cs="Arial"/>
          <w:spacing w:val="-4"/>
          <w:sz w:val="24"/>
          <w:szCs w:val="24"/>
        </w:rPr>
        <w:t xml:space="preserve"> </w:t>
      </w:r>
      <w:r w:rsidRPr="00066D6C">
        <w:rPr>
          <w:rFonts w:ascii="Arial" w:hAnsi="Arial" w:cs="Arial"/>
          <w:sz w:val="24"/>
          <w:szCs w:val="24"/>
        </w:rPr>
        <w:t>sus</w:t>
      </w:r>
      <w:r w:rsidRPr="00066D6C">
        <w:rPr>
          <w:rFonts w:ascii="Arial" w:hAnsi="Arial" w:cs="Arial"/>
          <w:spacing w:val="-4"/>
          <w:sz w:val="24"/>
          <w:szCs w:val="24"/>
        </w:rPr>
        <w:t xml:space="preserve"> </w:t>
      </w:r>
      <w:r w:rsidRPr="00066D6C">
        <w:rPr>
          <w:rFonts w:ascii="Arial" w:hAnsi="Arial" w:cs="Arial"/>
          <w:sz w:val="24"/>
          <w:szCs w:val="24"/>
        </w:rPr>
        <w:t>atribuciones</w:t>
      </w:r>
      <w:r w:rsidRPr="00066D6C">
        <w:rPr>
          <w:rFonts w:ascii="Arial" w:hAnsi="Arial" w:cs="Arial"/>
          <w:spacing w:val="-2"/>
          <w:sz w:val="24"/>
          <w:szCs w:val="24"/>
        </w:rPr>
        <w:t xml:space="preserve"> </w:t>
      </w:r>
      <w:r w:rsidRPr="00066D6C">
        <w:rPr>
          <w:rFonts w:ascii="Arial" w:hAnsi="Arial" w:cs="Arial"/>
          <w:sz w:val="24"/>
          <w:szCs w:val="24"/>
        </w:rPr>
        <w:t>constitucionales</w:t>
      </w:r>
      <w:r w:rsidRPr="00066D6C">
        <w:rPr>
          <w:rFonts w:ascii="Arial" w:hAnsi="Arial" w:cs="Arial"/>
          <w:spacing w:val="-2"/>
          <w:sz w:val="24"/>
          <w:szCs w:val="24"/>
        </w:rPr>
        <w:t xml:space="preserve"> </w:t>
      </w:r>
      <w:r w:rsidRPr="00066D6C">
        <w:rPr>
          <w:rFonts w:ascii="Arial" w:hAnsi="Arial" w:cs="Arial"/>
          <w:sz w:val="24"/>
          <w:szCs w:val="24"/>
        </w:rPr>
        <w:t>y</w:t>
      </w:r>
      <w:r w:rsidRPr="00066D6C">
        <w:rPr>
          <w:rFonts w:ascii="Arial" w:hAnsi="Arial" w:cs="Arial"/>
          <w:spacing w:val="-3"/>
          <w:sz w:val="24"/>
          <w:szCs w:val="24"/>
        </w:rPr>
        <w:t xml:space="preserve"> </w:t>
      </w:r>
      <w:r w:rsidRPr="00066D6C">
        <w:rPr>
          <w:rFonts w:ascii="Arial" w:hAnsi="Arial" w:cs="Arial"/>
          <w:sz w:val="24"/>
          <w:szCs w:val="24"/>
        </w:rPr>
        <w:t>legales,</w:t>
      </w:r>
      <w:r w:rsidRPr="00066D6C">
        <w:rPr>
          <w:rFonts w:ascii="Arial" w:hAnsi="Arial" w:cs="Arial"/>
          <w:spacing w:val="-1"/>
          <w:sz w:val="24"/>
          <w:szCs w:val="24"/>
        </w:rPr>
        <w:t xml:space="preserve"> </w:t>
      </w:r>
      <w:r w:rsidRPr="00066D6C">
        <w:rPr>
          <w:rFonts w:ascii="Arial" w:hAnsi="Arial" w:cs="Arial"/>
          <w:sz w:val="24"/>
          <w:szCs w:val="24"/>
        </w:rPr>
        <w:t>y</w:t>
      </w:r>
      <w:r w:rsidRPr="00066D6C">
        <w:rPr>
          <w:rFonts w:ascii="Arial" w:hAnsi="Arial" w:cs="Arial"/>
          <w:spacing w:val="-4"/>
          <w:sz w:val="24"/>
          <w:szCs w:val="24"/>
        </w:rPr>
        <w:t xml:space="preserve"> </w:t>
      </w:r>
      <w:r w:rsidRPr="00066D6C">
        <w:rPr>
          <w:rFonts w:ascii="Arial" w:hAnsi="Arial" w:cs="Arial"/>
          <w:sz w:val="24"/>
          <w:szCs w:val="24"/>
        </w:rPr>
        <w:t>en</w:t>
      </w:r>
      <w:r w:rsidRPr="00066D6C">
        <w:rPr>
          <w:rFonts w:ascii="Arial" w:hAnsi="Arial" w:cs="Arial"/>
          <w:spacing w:val="-2"/>
          <w:sz w:val="24"/>
          <w:szCs w:val="24"/>
        </w:rPr>
        <w:t xml:space="preserve"> </w:t>
      </w:r>
      <w:r w:rsidRPr="00066D6C">
        <w:rPr>
          <w:rFonts w:ascii="Arial" w:hAnsi="Arial" w:cs="Arial"/>
          <w:sz w:val="24"/>
          <w:szCs w:val="24"/>
        </w:rPr>
        <w:t>especial</w:t>
      </w:r>
      <w:r w:rsidRPr="00066D6C">
        <w:rPr>
          <w:rFonts w:ascii="Arial" w:hAnsi="Arial" w:cs="Arial"/>
          <w:spacing w:val="-3"/>
          <w:sz w:val="24"/>
          <w:szCs w:val="24"/>
        </w:rPr>
        <w:t xml:space="preserve"> </w:t>
      </w:r>
      <w:r w:rsidRPr="00066D6C">
        <w:rPr>
          <w:rFonts w:ascii="Arial" w:hAnsi="Arial" w:cs="Arial"/>
          <w:sz w:val="24"/>
          <w:szCs w:val="24"/>
        </w:rPr>
        <w:t>las</w:t>
      </w:r>
      <w:r w:rsidRPr="00066D6C">
        <w:rPr>
          <w:rFonts w:ascii="Arial" w:hAnsi="Arial" w:cs="Arial"/>
          <w:spacing w:val="-2"/>
          <w:sz w:val="24"/>
          <w:szCs w:val="24"/>
        </w:rPr>
        <w:t xml:space="preserve"> </w:t>
      </w:r>
      <w:r w:rsidRPr="00066D6C">
        <w:rPr>
          <w:rFonts w:ascii="Arial" w:hAnsi="Arial" w:cs="Arial"/>
          <w:sz w:val="24"/>
          <w:szCs w:val="24"/>
        </w:rPr>
        <w:t>conferidas</w:t>
      </w:r>
      <w:r w:rsidRPr="00066D6C">
        <w:rPr>
          <w:rFonts w:ascii="Arial" w:hAnsi="Arial" w:cs="Arial"/>
          <w:spacing w:val="-2"/>
          <w:sz w:val="24"/>
          <w:szCs w:val="24"/>
        </w:rPr>
        <w:t xml:space="preserve"> </w:t>
      </w:r>
      <w:r w:rsidRPr="00066D6C">
        <w:rPr>
          <w:rFonts w:ascii="Arial" w:hAnsi="Arial" w:cs="Arial"/>
          <w:sz w:val="24"/>
          <w:szCs w:val="24"/>
        </w:rPr>
        <w:t>por</w:t>
      </w:r>
      <w:r w:rsidRPr="00066D6C">
        <w:rPr>
          <w:rFonts w:ascii="Arial" w:hAnsi="Arial" w:cs="Arial"/>
          <w:spacing w:val="-1"/>
          <w:sz w:val="24"/>
          <w:szCs w:val="24"/>
        </w:rPr>
        <w:t xml:space="preserve"> </w:t>
      </w:r>
      <w:r w:rsidRPr="00066D6C">
        <w:rPr>
          <w:rFonts w:ascii="Arial" w:hAnsi="Arial" w:cs="Arial"/>
          <w:sz w:val="24"/>
          <w:szCs w:val="24"/>
        </w:rPr>
        <w:t>el Decreto Ley 1421 de 1993</w:t>
      </w:r>
      <w:r>
        <w:rPr>
          <w:rFonts w:ascii="Arial" w:hAnsi="Arial" w:cs="Arial"/>
          <w:sz w:val="24"/>
          <w:szCs w:val="24"/>
        </w:rPr>
        <w:t xml:space="preserve"> </w:t>
      </w:r>
      <w:r w:rsidR="00CC7252">
        <w:rPr>
          <w:rFonts w:ascii="Arial" w:hAnsi="Arial" w:cs="Arial"/>
          <w:sz w:val="24"/>
          <w:szCs w:val="24"/>
        </w:rPr>
        <w:t>a</w:t>
      </w:r>
      <w:r>
        <w:rPr>
          <w:rFonts w:ascii="Arial" w:hAnsi="Arial" w:cs="Arial"/>
          <w:sz w:val="24"/>
          <w:szCs w:val="24"/>
        </w:rPr>
        <w:t>rtículo 12, numerales 1 y 23</w:t>
      </w:r>
      <w:r w:rsidRPr="00066D6C">
        <w:rPr>
          <w:rFonts w:ascii="Arial" w:hAnsi="Arial" w:cs="Arial"/>
          <w:sz w:val="24"/>
          <w:szCs w:val="24"/>
        </w:rPr>
        <w:t xml:space="preserve">, en concordancia con los </w:t>
      </w:r>
      <w:r w:rsidR="00CC7252">
        <w:rPr>
          <w:rFonts w:ascii="Arial" w:hAnsi="Arial" w:cs="Arial"/>
          <w:sz w:val="24"/>
          <w:szCs w:val="24"/>
        </w:rPr>
        <w:t>a</w:t>
      </w:r>
      <w:r w:rsidRPr="00066D6C">
        <w:rPr>
          <w:rFonts w:ascii="Arial" w:hAnsi="Arial" w:cs="Arial"/>
          <w:sz w:val="24"/>
          <w:szCs w:val="24"/>
        </w:rPr>
        <w:t>rtículos 13, 19 y 313 de la Constitución Política, Artículo 8 de la Ley Estatutaria 133 de 1994 y el Decreto Reglamentario 354 de 1998;</w:t>
      </w:r>
    </w:p>
    <w:p w14:paraId="10AD3AE0" w14:textId="77777777" w:rsidR="00066D6C" w:rsidRPr="00066D6C" w:rsidRDefault="00066D6C" w:rsidP="00066D6C">
      <w:pPr>
        <w:pStyle w:val="Textoindependiente"/>
        <w:rPr>
          <w:rFonts w:ascii="Arial" w:hAnsi="Arial" w:cs="Arial"/>
          <w:sz w:val="24"/>
          <w:szCs w:val="24"/>
        </w:rPr>
      </w:pPr>
    </w:p>
    <w:p w14:paraId="60B863E3" w14:textId="77777777" w:rsidR="00066D6C" w:rsidRPr="00066D6C" w:rsidRDefault="00066D6C" w:rsidP="00066D6C">
      <w:pPr>
        <w:pStyle w:val="Textoindependiente"/>
        <w:ind w:right="143"/>
        <w:jc w:val="center"/>
        <w:rPr>
          <w:rFonts w:ascii="Arial" w:hAnsi="Arial" w:cs="Arial"/>
          <w:b/>
          <w:sz w:val="24"/>
          <w:szCs w:val="24"/>
        </w:rPr>
      </w:pPr>
      <w:r w:rsidRPr="00066D6C">
        <w:rPr>
          <w:rFonts w:ascii="Arial" w:hAnsi="Arial" w:cs="Arial"/>
          <w:b/>
          <w:spacing w:val="-2"/>
          <w:sz w:val="24"/>
          <w:szCs w:val="24"/>
        </w:rPr>
        <w:t>ACUERDA:</w:t>
      </w:r>
    </w:p>
    <w:p w14:paraId="1CDCE45E" w14:textId="77777777" w:rsidR="00066D6C" w:rsidRPr="00066D6C" w:rsidRDefault="00066D6C" w:rsidP="00066D6C">
      <w:pPr>
        <w:pStyle w:val="Textoindependiente"/>
        <w:spacing w:before="251"/>
        <w:ind w:left="2" w:right="137"/>
        <w:jc w:val="both"/>
        <w:rPr>
          <w:rFonts w:ascii="Arial" w:hAnsi="Arial" w:cs="Arial"/>
          <w:sz w:val="24"/>
          <w:szCs w:val="24"/>
        </w:rPr>
      </w:pPr>
      <w:r w:rsidRPr="00066D6C">
        <w:rPr>
          <w:rFonts w:ascii="Arial" w:hAnsi="Arial" w:cs="Arial"/>
          <w:b/>
          <w:sz w:val="24"/>
          <w:szCs w:val="24"/>
        </w:rPr>
        <w:t xml:space="preserve">ARTÍCULO 1. OBJETO. </w:t>
      </w:r>
      <w:r w:rsidRPr="00066D6C">
        <w:rPr>
          <w:rFonts w:ascii="Arial" w:hAnsi="Arial" w:cs="Arial"/>
          <w:sz w:val="24"/>
          <w:szCs w:val="24"/>
        </w:rPr>
        <w:t>Establecer los lineamientos para que la Administración Distrital, adelante medidas dirigidas a la sostenibilidad, solución o saneamiento de obligaciones derivadas por el uso de los espacios públicos en plazas distritales de mercado contraídas con el IPES por los vivanderos y comerciantes.</w:t>
      </w:r>
    </w:p>
    <w:p w14:paraId="6131A903" w14:textId="77777777" w:rsidR="00066D6C" w:rsidRPr="00066D6C" w:rsidRDefault="00066D6C" w:rsidP="00066D6C">
      <w:pPr>
        <w:pStyle w:val="Textoindependiente"/>
        <w:rPr>
          <w:rFonts w:ascii="Arial" w:hAnsi="Arial" w:cs="Arial"/>
          <w:sz w:val="24"/>
          <w:szCs w:val="24"/>
        </w:rPr>
      </w:pPr>
    </w:p>
    <w:p w14:paraId="492DC124" w14:textId="77777777" w:rsidR="00066D6C" w:rsidRPr="00066D6C" w:rsidRDefault="00066D6C" w:rsidP="00066D6C">
      <w:pPr>
        <w:pStyle w:val="Textoindependiente"/>
        <w:ind w:left="2" w:right="135"/>
        <w:jc w:val="both"/>
        <w:rPr>
          <w:rFonts w:ascii="Arial" w:hAnsi="Arial" w:cs="Arial"/>
          <w:sz w:val="24"/>
          <w:szCs w:val="24"/>
        </w:rPr>
      </w:pPr>
      <w:r w:rsidRPr="00066D6C">
        <w:rPr>
          <w:rFonts w:ascii="Arial" w:hAnsi="Arial" w:cs="Arial"/>
          <w:b/>
          <w:sz w:val="24"/>
          <w:szCs w:val="24"/>
        </w:rPr>
        <w:t>ARTÍCULO 2</w:t>
      </w:r>
      <w:r w:rsidRPr="00066D6C">
        <w:rPr>
          <w:rFonts w:ascii="Arial" w:hAnsi="Arial" w:cs="Arial"/>
          <w:sz w:val="24"/>
          <w:szCs w:val="24"/>
        </w:rPr>
        <w:t xml:space="preserve">. </w:t>
      </w:r>
      <w:r w:rsidRPr="00066D6C">
        <w:rPr>
          <w:rFonts w:ascii="Arial" w:hAnsi="Arial" w:cs="Arial"/>
          <w:b/>
          <w:sz w:val="24"/>
          <w:szCs w:val="24"/>
        </w:rPr>
        <w:t xml:space="preserve">VARIABLE SOCIAL. </w:t>
      </w:r>
      <w:r w:rsidRPr="00066D6C">
        <w:rPr>
          <w:rFonts w:ascii="Arial" w:hAnsi="Arial" w:cs="Arial"/>
          <w:sz w:val="24"/>
          <w:szCs w:val="24"/>
        </w:rPr>
        <w:t>La Administración Distrital, a través del Instituto para la Economía Social (IPES) en la aplicación de la Resolución 172 de 2025, el proceso de normalización tendrá en cuenta la variable social establecida en dicha norma, y la cual considera las necesidades y condiciones socioeconómicas de los comerciantes y vivanderos, para promover su inclusión y sostenibilidad económica.</w:t>
      </w:r>
    </w:p>
    <w:p w14:paraId="5F79EE8B" w14:textId="1331CE4F" w:rsidR="00066D6C" w:rsidRPr="00066D6C" w:rsidRDefault="00066D6C" w:rsidP="00066D6C">
      <w:pPr>
        <w:pStyle w:val="Textoindependiente"/>
        <w:spacing w:before="252" w:line="242" w:lineRule="auto"/>
        <w:ind w:left="2" w:right="135"/>
        <w:jc w:val="both"/>
        <w:rPr>
          <w:rFonts w:ascii="Arial" w:hAnsi="Arial" w:cs="Arial"/>
          <w:sz w:val="24"/>
          <w:szCs w:val="24"/>
        </w:rPr>
      </w:pPr>
      <w:r w:rsidRPr="00066D6C">
        <w:rPr>
          <w:rFonts w:ascii="Arial" w:hAnsi="Arial" w:cs="Arial"/>
          <w:b/>
          <w:sz w:val="24"/>
          <w:szCs w:val="24"/>
        </w:rPr>
        <w:t xml:space="preserve">ARTÍCULO 3. BENEFICIOS. </w:t>
      </w:r>
      <w:r w:rsidRPr="00066D6C">
        <w:rPr>
          <w:rFonts w:ascii="Arial" w:hAnsi="Arial" w:cs="Arial"/>
          <w:sz w:val="24"/>
          <w:szCs w:val="24"/>
        </w:rPr>
        <w:t>Para facilitar y/o promover la solución o saneamiento de las obligaciones en la normalización se podrá descontar hasta el 100 % de los intereses a las personas con pago de la</w:t>
      </w:r>
      <w:r w:rsidRPr="00066D6C">
        <w:rPr>
          <w:rFonts w:ascii="Arial" w:hAnsi="Arial" w:cs="Arial"/>
          <w:spacing w:val="-1"/>
          <w:sz w:val="24"/>
          <w:szCs w:val="24"/>
        </w:rPr>
        <w:t xml:space="preserve"> </w:t>
      </w:r>
      <w:r w:rsidRPr="00066D6C">
        <w:rPr>
          <w:rFonts w:ascii="Arial" w:hAnsi="Arial" w:cs="Arial"/>
          <w:sz w:val="24"/>
          <w:szCs w:val="24"/>
        </w:rPr>
        <w:t>totalidad de la obligación siempre y cuando el pago se</w:t>
      </w:r>
      <w:r w:rsidRPr="00066D6C">
        <w:rPr>
          <w:rFonts w:ascii="Arial" w:hAnsi="Arial" w:cs="Arial"/>
          <w:spacing w:val="-1"/>
          <w:sz w:val="24"/>
          <w:szCs w:val="24"/>
        </w:rPr>
        <w:t xml:space="preserve"> </w:t>
      </w:r>
      <w:r w:rsidR="00DC7783">
        <w:rPr>
          <w:rFonts w:ascii="Arial" w:hAnsi="Arial" w:cs="Arial"/>
          <w:sz w:val="24"/>
          <w:szCs w:val="24"/>
        </w:rPr>
        <w:t>realice en el periodo de 6</w:t>
      </w:r>
      <w:r w:rsidRPr="00066D6C">
        <w:rPr>
          <w:rFonts w:ascii="Arial" w:hAnsi="Arial" w:cs="Arial"/>
          <w:sz w:val="24"/>
          <w:szCs w:val="24"/>
        </w:rPr>
        <w:t xml:space="preserve"> meses a partir de la vigencia del presente acuerdo; y los descuentos</w:t>
      </w:r>
      <w:r>
        <w:rPr>
          <w:rFonts w:ascii="Arial" w:hAnsi="Arial" w:cs="Arial"/>
          <w:sz w:val="24"/>
          <w:szCs w:val="24"/>
        </w:rPr>
        <w:t xml:space="preserve"> </w:t>
      </w:r>
      <w:r w:rsidRPr="00066D6C">
        <w:rPr>
          <w:rFonts w:ascii="Arial" w:hAnsi="Arial" w:cs="Arial"/>
          <w:sz w:val="24"/>
          <w:szCs w:val="24"/>
        </w:rPr>
        <w:t>del</w:t>
      </w:r>
      <w:r w:rsidRPr="00066D6C">
        <w:rPr>
          <w:rFonts w:ascii="Arial" w:hAnsi="Arial" w:cs="Arial"/>
          <w:spacing w:val="-3"/>
          <w:sz w:val="24"/>
          <w:szCs w:val="24"/>
        </w:rPr>
        <w:t xml:space="preserve"> </w:t>
      </w:r>
      <w:r w:rsidRPr="00066D6C">
        <w:rPr>
          <w:rFonts w:ascii="Arial" w:hAnsi="Arial" w:cs="Arial"/>
          <w:sz w:val="24"/>
          <w:szCs w:val="24"/>
        </w:rPr>
        <w:t>capital</w:t>
      </w:r>
      <w:r w:rsidRPr="00066D6C">
        <w:rPr>
          <w:rFonts w:ascii="Arial" w:hAnsi="Arial" w:cs="Arial"/>
          <w:spacing w:val="-3"/>
          <w:sz w:val="24"/>
          <w:szCs w:val="24"/>
        </w:rPr>
        <w:t xml:space="preserve"> </w:t>
      </w:r>
      <w:r w:rsidRPr="00066D6C">
        <w:rPr>
          <w:rFonts w:ascii="Arial" w:hAnsi="Arial" w:cs="Arial"/>
          <w:sz w:val="24"/>
          <w:szCs w:val="24"/>
        </w:rPr>
        <w:t>entre</w:t>
      </w:r>
      <w:r w:rsidRPr="00066D6C">
        <w:rPr>
          <w:rFonts w:ascii="Arial" w:hAnsi="Arial" w:cs="Arial"/>
          <w:spacing w:val="-2"/>
          <w:sz w:val="24"/>
          <w:szCs w:val="24"/>
        </w:rPr>
        <w:t xml:space="preserve"> </w:t>
      </w:r>
      <w:r w:rsidRPr="00066D6C">
        <w:rPr>
          <w:rFonts w:ascii="Arial" w:hAnsi="Arial" w:cs="Arial"/>
          <w:sz w:val="24"/>
          <w:szCs w:val="24"/>
        </w:rPr>
        <w:t>el</w:t>
      </w:r>
      <w:r w:rsidRPr="00066D6C">
        <w:rPr>
          <w:rFonts w:ascii="Arial" w:hAnsi="Arial" w:cs="Arial"/>
          <w:spacing w:val="-5"/>
          <w:sz w:val="24"/>
          <w:szCs w:val="24"/>
        </w:rPr>
        <w:t xml:space="preserve"> </w:t>
      </w:r>
      <w:r w:rsidRPr="00066D6C">
        <w:rPr>
          <w:rFonts w:ascii="Arial" w:hAnsi="Arial" w:cs="Arial"/>
          <w:sz w:val="24"/>
          <w:szCs w:val="24"/>
        </w:rPr>
        <w:t>50</w:t>
      </w:r>
      <w:r w:rsidRPr="00066D6C">
        <w:rPr>
          <w:rFonts w:ascii="Arial" w:hAnsi="Arial" w:cs="Arial"/>
          <w:spacing w:val="-2"/>
          <w:sz w:val="24"/>
          <w:szCs w:val="24"/>
        </w:rPr>
        <w:t xml:space="preserve"> </w:t>
      </w:r>
      <w:r w:rsidRPr="00066D6C">
        <w:rPr>
          <w:rFonts w:ascii="Arial" w:hAnsi="Arial" w:cs="Arial"/>
          <w:sz w:val="24"/>
          <w:szCs w:val="24"/>
        </w:rPr>
        <w:t>y</w:t>
      </w:r>
      <w:r w:rsidRPr="00066D6C">
        <w:rPr>
          <w:rFonts w:ascii="Arial" w:hAnsi="Arial" w:cs="Arial"/>
          <w:spacing w:val="-4"/>
          <w:sz w:val="24"/>
          <w:szCs w:val="24"/>
        </w:rPr>
        <w:t xml:space="preserve"> </w:t>
      </w:r>
      <w:r w:rsidRPr="00066D6C">
        <w:rPr>
          <w:rFonts w:ascii="Arial" w:hAnsi="Arial" w:cs="Arial"/>
          <w:sz w:val="24"/>
          <w:szCs w:val="24"/>
        </w:rPr>
        <w:t>el</w:t>
      </w:r>
      <w:r w:rsidRPr="00066D6C">
        <w:rPr>
          <w:rFonts w:ascii="Arial" w:hAnsi="Arial" w:cs="Arial"/>
          <w:spacing w:val="-2"/>
          <w:sz w:val="24"/>
          <w:szCs w:val="24"/>
        </w:rPr>
        <w:t xml:space="preserve"> </w:t>
      </w:r>
      <w:r w:rsidRPr="00066D6C">
        <w:rPr>
          <w:rFonts w:ascii="Arial" w:hAnsi="Arial" w:cs="Arial"/>
          <w:spacing w:val="-4"/>
          <w:sz w:val="24"/>
          <w:szCs w:val="24"/>
        </w:rPr>
        <w:t>70%.</w:t>
      </w:r>
    </w:p>
    <w:p w14:paraId="63C13E69" w14:textId="77777777" w:rsidR="00066D6C" w:rsidRPr="00066D6C" w:rsidRDefault="00066D6C" w:rsidP="00066D6C">
      <w:pPr>
        <w:pStyle w:val="Textoindependiente"/>
        <w:spacing w:before="252"/>
        <w:ind w:left="2" w:right="135"/>
        <w:jc w:val="both"/>
        <w:rPr>
          <w:rFonts w:ascii="Arial" w:hAnsi="Arial" w:cs="Arial"/>
          <w:sz w:val="24"/>
          <w:szCs w:val="24"/>
        </w:rPr>
      </w:pPr>
      <w:r w:rsidRPr="00066D6C">
        <w:rPr>
          <w:rFonts w:ascii="Arial" w:hAnsi="Arial" w:cs="Arial"/>
          <w:b/>
          <w:sz w:val="24"/>
          <w:szCs w:val="24"/>
        </w:rPr>
        <w:t>ARTÍCULO 4. DEPURACIÓN CONTABLE.</w:t>
      </w:r>
      <w:r w:rsidRPr="00066D6C">
        <w:rPr>
          <w:rFonts w:ascii="Arial" w:hAnsi="Arial" w:cs="Arial"/>
          <w:b/>
          <w:spacing w:val="40"/>
          <w:sz w:val="24"/>
          <w:szCs w:val="24"/>
        </w:rPr>
        <w:t xml:space="preserve"> </w:t>
      </w:r>
      <w:r w:rsidRPr="00066D6C">
        <w:rPr>
          <w:rFonts w:ascii="Arial" w:hAnsi="Arial" w:cs="Arial"/>
          <w:sz w:val="24"/>
          <w:szCs w:val="24"/>
        </w:rPr>
        <w:t xml:space="preserve">El IPES implementará medidas orientadas a garantizar la depuración de toda la cartera en la que esté ejerciendo </w:t>
      </w:r>
      <w:r w:rsidRPr="00066D6C">
        <w:rPr>
          <w:rFonts w:ascii="Arial" w:hAnsi="Arial" w:cs="Arial"/>
          <w:sz w:val="24"/>
          <w:szCs w:val="24"/>
        </w:rPr>
        <w:lastRenderedPageBreak/>
        <w:t>acciones de cobro persuasivo o coactivo; y en general, todos los procesos que estén inmersos dentro de las causales</w:t>
      </w:r>
      <w:r w:rsidRPr="00066D6C">
        <w:rPr>
          <w:rFonts w:ascii="Arial" w:hAnsi="Arial" w:cs="Arial"/>
          <w:spacing w:val="-6"/>
          <w:sz w:val="24"/>
          <w:szCs w:val="24"/>
        </w:rPr>
        <w:t xml:space="preserve"> </w:t>
      </w:r>
      <w:r w:rsidRPr="00066D6C">
        <w:rPr>
          <w:rFonts w:ascii="Arial" w:hAnsi="Arial" w:cs="Arial"/>
          <w:sz w:val="24"/>
          <w:szCs w:val="24"/>
        </w:rPr>
        <w:t>de</w:t>
      </w:r>
      <w:r w:rsidRPr="00066D6C">
        <w:rPr>
          <w:rFonts w:ascii="Arial" w:hAnsi="Arial" w:cs="Arial"/>
          <w:spacing w:val="-7"/>
          <w:sz w:val="24"/>
          <w:szCs w:val="24"/>
        </w:rPr>
        <w:t xml:space="preserve"> </w:t>
      </w:r>
      <w:r w:rsidRPr="00066D6C">
        <w:rPr>
          <w:rFonts w:ascii="Arial" w:hAnsi="Arial" w:cs="Arial"/>
          <w:sz w:val="24"/>
          <w:szCs w:val="24"/>
        </w:rPr>
        <w:t>depuración,</w:t>
      </w:r>
      <w:r w:rsidRPr="00066D6C">
        <w:rPr>
          <w:rFonts w:ascii="Arial" w:hAnsi="Arial" w:cs="Arial"/>
          <w:spacing w:val="-10"/>
          <w:sz w:val="24"/>
          <w:szCs w:val="24"/>
        </w:rPr>
        <w:t xml:space="preserve"> </w:t>
      </w:r>
      <w:r w:rsidRPr="00066D6C">
        <w:rPr>
          <w:rFonts w:ascii="Arial" w:hAnsi="Arial" w:cs="Arial"/>
          <w:sz w:val="24"/>
          <w:szCs w:val="24"/>
        </w:rPr>
        <w:t>así</w:t>
      </w:r>
      <w:r w:rsidRPr="00066D6C">
        <w:rPr>
          <w:rFonts w:ascii="Arial" w:hAnsi="Arial" w:cs="Arial"/>
          <w:spacing w:val="-10"/>
          <w:sz w:val="24"/>
          <w:szCs w:val="24"/>
        </w:rPr>
        <w:t xml:space="preserve"> </w:t>
      </w:r>
      <w:r w:rsidRPr="00066D6C">
        <w:rPr>
          <w:rFonts w:ascii="Arial" w:hAnsi="Arial" w:cs="Arial"/>
          <w:sz w:val="24"/>
          <w:szCs w:val="24"/>
        </w:rPr>
        <w:t>como</w:t>
      </w:r>
      <w:r w:rsidRPr="00066D6C">
        <w:rPr>
          <w:rFonts w:ascii="Arial" w:hAnsi="Arial" w:cs="Arial"/>
          <w:spacing w:val="-6"/>
          <w:sz w:val="24"/>
          <w:szCs w:val="24"/>
        </w:rPr>
        <w:t xml:space="preserve"> </w:t>
      </w:r>
      <w:r w:rsidRPr="00066D6C">
        <w:rPr>
          <w:rFonts w:ascii="Arial" w:hAnsi="Arial" w:cs="Arial"/>
          <w:sz w:val="24"/>
          <w:szCs w:val="24"/>
        </w:rPr>
        <w:t>las</w:t>
      </w:r>
      <w:r w:rsidRPr="00066D6C">
        <w:rPr>
          <w:rFonts w:ascii="Arial" w:hAnsi="Arial" w:cs="Arial"/>
          <w:spacing w:val="-6"/>
          <w:sz w:val="24"/>
          <w:szCs w:val="24"/>
        </w:rPr>
        <w:t xml:space="preserve"> </w:t>
      </w:r>
      <w:r w:rsidRPr="00066D6C">
        <w:rPr>
          <w:rFonts w:ascii="Arial" w:hAnsi="Arial" w:cs="Arial"/>
          <w:sz w:val="24"/>
          <w:szCs w:val="24"/>
        </w:rPr>
        <w:t>acreencias</w:t>
      </w:r>
      <w:r w:rsidRPr="00066D6C">
        <w:rPr>
          <w:rFonts w:ascii="Arial" w:hAnsi="Arial" w:cs="Arial"/>
          <w:spacing w:val="-9"/>
          <w:sz w:val="24"/>
          <w:szCs w:val="24"/>
        </w:rPr>
        <w:t xml:space="preserve"> </w:t>
      </w:r>
      <w:r w:rsidRPr="00066D6C">
        <w:rPr>
          <w:rFonts w:ascii="Arial" w:hAnsi="Arial" w:cs="Arial"/>
          <w:sz w:val="24"/>
          <w:szCs w:val="24"/>
        </w:rPr>
        <w:t>derivadas</w:t>
      </w:r>
      <w:r w:rsidRPr="00066D6C">
        <w:rPr>
          <w:rFonts w:ascii="Arial" w:hAnsi="Arial" w:cs="Arial"/>
          <w:spacing w:val="-6"/>
          <w:sz w:val="24"/>
          <w:szCs w:val="24"/>
        </w:rPr>
        <w:t xml:space="preserve"> </w:t>
      </w:r>
      <w:r w:rsidRPr="00066D6C">
        <w:rPr>
          <w:rFonts w:ascii="Arial" w:hAnsi="Arial" w:cs="Arial"/>
          <w:sz w:val="24"/>
          <w:szCs w:val="24"/>
        </w:rPr>
        <w:t>de</w:t>
      </w:r>
      <w:r w:rsidRPr="00066D6C">
        <w:rPr>
          <w:rFonts w:ascii="Arial" w:hAnsi="Arial" w:cs="Arial"/>
          <w:spacing w:val="-7"/>
          <w:sz w:val="24"/>
          <w:szCs w:val="24"/>
        </w:rPr>
        <w:t xml:space="preserve"> </w:t>
      </w:r>
      <w:r w:rsidRPr="00066D6C">
        <w:rPr>
          <w:rFonts w:ascii="Arial" w:hAnsi="Arial" w:cs="Arial"/>
          <w:sz w:val="24"/>
          <w:szCs w:val="24"/>
        </w:rPr>
        <w:t>títulos</w:t>
      </w:r>
      <w:r w:rsidRPr="00066D6C">
        <w:rPr>
          <w:rFonts w:ascii="Arial" w:hAnsi="Arial" w:cs="Arial"/>
          <w:spacing w:val="-6"/>
          <w:sz w:val="24"/>
          <w:szCs w:val="24"/>
        </w:rPr>
        <w:t xml:space="preserve"> </w:t>
      </w:r>
      <w:r w:rsidRPr="00066D6C">
        <w:rPr>
          <w:rFonts w:ascii="Arial" w:hAnsi="Arial" w:cs="Arial"/>
          <w:sz w:val="24"/>
          <w:szCs w:val="24"/>
        </w:rPr>
        <w:t>ejecutivos</w:t>
      </w:r>
      <w:r w:rsidRPr="00066D6C">
        <w:rPr>
          <w:rFonts w:ascii="Arial" w:hAnsi="Arial" w:cs="Arial"/>
          <w:spacing w:val="-6"/>
          <w:sz w:val="24"/>
          <w:szCs w:val="24"/>
        </w:rPr>
        <w:t xml:space="preserve"> </w:t>
      </w:r>
      <w:r w:rsidRPr="00066D6C">
        <w:rPr>
          <w:rFonts w:ascii="Arial" w:hAnsi="Arial" w:cs="Arial"/>
          <w:sz w:val="24"/>
          <w:szCs w:val="24"/>
        </w:rPr>
        <w:t>a</w:t>
      </w:r>
      <w:r w:rsidRPr="00066D6C">
        <w:rPr>
          <w:rFonts w:ascii="Arial" w:hAnsi="Arial" w:cs="Arial"/>
          <w:spacing w:val="-9"/>
          <w:sz w:val="24"/>
          <w:szCs w:val="24"/>
        </w:rPr>
        <w:t xml:space="preserve"> </w:t>
      </w:r>
      <w:r w:rsidRPr="00066D6C">
        <w:rPr>
          <w:rFonts w:ascii="Arial" w:hAnsi="Arial" w:cs="Arial"/>
          <w:sz w:val="24"/>
          <w:szCs w:val="24"/>
        </w:rPr>
        <w:t>favor</w:t>
      </w:r>
      <w:r w:rsidRPr="00066D6C">
        <w:rPr>
          <w:rFonts w:ascii="Arial" w:hAnsi="Arial" w:cs="Arial"/>
          <w:spacing w:val="-6"/>
          <w:sz w:val="24"/>
          <w:szCs w:val="24"/>
        </w:rPr>
        <w:t xml:space="preserve"> </w:t>
      </w:r>
      <w:r w:rsidRPr="00066D6C">
        <w:rPr>
          <w:rFonts w:ascii="Arial" w:hAnsi="Arial" w:cs="Arial"/>
          <w:sz w:val="24"/>
          <w:szCs w:val="24"/>
        </w:rPr>
        <w:t>del IPES y contraídas por los vivanderos y comerciantes de las plazas distritales de mercado.</w:t>
      </w:r>
    </w:p>
    <w:p w14:paraId="0F065753" w14:textId="7D08BDC1" w:rsidR="00066D6C" w:rsidRPr="00066D6C" w:rsidRDefault="00066D6C" w:rsidP="00066D6C">
      <w:pPr>
        <w:pStyle w:val="Textoindependiente"/>
        <w:spacing w:before="252" w:line="242" w:lineRule="auto"/>
        <w:ind w:left="2" w:right="141"/>
        <w:jc w:val="both"/>
        <w:rPr>
          <w:rFonts w:ascii="Arial" w:hAnsi="Arial" w:cs="Arial"/>
          <w:sz w:val="24"/>
          <w:szCs w:val="24"/>
        </w:rPr>
      </w:pPr>
      <w:r w:rsidRPr="00066D6C">
        <w:rPr>
          <w:rFonts w:ascii="Arial" w:hAnsi="Arial" w:cs="Arial"/>
          <w:b/>
          <w:sz w:val="24"/>
          <w:szCs w:val="24"/>
        </w:rPr>
        <w:t xml:space="preserve">ARTÍCULO 5. INCENTIVOS. </w:t>
      </w:r>
      <w:r w:rsidRPr="00066D6C">
        <w:rPr>
          <w:rFonts w:ascii="Arial" w:hAnsi="Arial" w:cs="Arial"/>
          <w:sz w:val="24"/>
          <w:szCs w:val="24"/>
        </w:rPr>
        <w:t>El IPES creará un</w:t>
      </w:r>
      <w:r w:rsidRPr="00066D6C">
        <w:rPr>
          <w:rFonts w:ascii="Arial" w:hAnsi="Arial" w:cs="Arial"/>
          <w:spacing w:val="-2"/>
          <w:sz w:val="24"/>
          <w:szCs w:val="24"/>
        </w:rPr>
        <w:t xml:space="preserve"> </w:t>
      </w:r>
      <w:r w:rsidRPr="00066D6C">
        <w:rPr>
          <w:rFonts w:ascii="Arial" w:hAnsi="Arial" w:cs="Arial"/>
          <w:sz w:val="24"/>
          <w:szCs w:val="24"/>
        </w:rPr>
        <w:t>mecanismo de incentivos en armonía con el</w:t>
      </w:r>
      <w:r w:rsidRPr="00066D6C">
        <w:rPr>
          <w:rFonts w:ascii="Arial" w:hAnsi="Arial" w:cs="Arial"/>
          <w:spacing w:val="-1"/>
          <w:sz w:val="24"/>
          <w:szCs w:val="24"/>
        </w:rPr>
        <w:t xml:space="preserve"> </w:t>
      </w:r>
      <w:r w:rsidRPr="00066D6C">
        <w:rPr>
          <w:rFonts w:ascii="Arial" w:hAnsi="Arial" w:cs="Arial"/>
          <w:sz w:val="24"/>
          <w:szCs w:val="24"/>
        </w:rPr>
        <w:t>principio de sostenibilidad, a</w:t>
      </w:r>
      <w:r w:rsidRPr="00066D6C">
        <w:rPr>
          <w:rFonts w:ascii="Arial" w:hAnsi="Arial" w:cs="Arial"/>
          <w:spacing w:val="-2"/>
          <w:sz w:val="24"/>
          <w:szCs w:val="24"/>
        </w:rPr>
        <w:t xml:space="preserve"> </w:t>
      </w:r>
      <w:r w:rsidRPr="00066D6C">
        <w:rPr>
          <w:rFonts w:ascii="Arial" w:hAnsi="Arial" w:cs="Arial"/>
          <w:sz w:val="24"/>
          <w:szCs w:val="24"/>
        </w:rPr>
        <w:t>fin de</w:t>
      </w:r>
      <w:r w:rsidRPr="00066D6C">
        <w:rPr>
          <w:rFonts w:ascii="Arial" w:hAnsi="Arial" w:cs="Arial"/>
          <w:spacing w:val="-2"/>
          <w:sz w:val="24"/>
          <w:szCs w:val="24"/>
        </w:rPr>
        <w:t xml:space="preserve"> </w:t>
      </w:r>
      <w:r w:rsidRPr="00066D6C">
        <w:rPr>
          <w:rFonts w:ascii="Arial" w:hAnsi="Arial" w:cs="Arial"/>
          <w:sz w:val="24"/>
          <w:szCs w:val="24"/>
        </w:rPr>
        <w:t>promover e</w:t>
      </w:r>
      <w:r w:rsidRPr="00066D6C">
        <w:rPr>
          <w:rFonts w:ascii="Arial" w:hAnsi="Arial" w:cs="Arial"/>
          <w:spacing w:val="-2"/>
          <w:sz w:val="24"/>
          <w:szCs w:val="24"/>
        </w:rPr>
        <w:t xml:space="preserve"> </w:t>
      </w:r>
      <w:r w:rsidRPr="00066D6C">
        <w:rPr>
          <w:rFonts w:ascii="Arial" w:hAnsi="Arial" w:cs="Arial"/>
          <w:sz w:val="24"/>
          <w:szCs w:val="24"/>
        </w:rPr>
        <w:t>incentivar el</w:t>
      </w:r>
      <w:r w:rsidRPr="00066D6C">
        <w:rPr>
          <w:rFonts w:ascii="Arial" w:hAnsi="Arial" w:cs="Arial"/>
          <w:spacing w:val="-1"/>
          <w:sz w:val="24"/>
          <w:szCs w:val="24"/>
        </w:rPr>
        <w:t xml:space="preserve"> </w:t>
      </w:r>
      <w:r w:rsidRPr="00066D6C">
        <w:rPr>
          <w:rFonts w:ascii="Arial" w:hAnsi="Arial" w:cs="Arial"/>
          <w:sz w:val="24"/>
          <w:szCs w:val="24"/>
        </w:rPr>
        <w:t>pago oportuno de las tarifas de uso y aprovechamiento. que incluya los siguientes criterios: se podrá otorgar por la entidad</w:t>
      </w:r>
      <w:r w:rsidRPr="00066D6C">
        <w:rPr>
          <w:rFonts w:ascii="Arial" w:hAnsi="Arial" w:cs="Arial"/>
          <w:spacing w:val="-11"/>
          <w:sz w:val="24"/>
          <w:szCs w:val="24"/>
        </w:rPr>
        <w:t xml:space="preserve"> </w:t>
      </w:r>
      <w:r w:rsidRPr="00066D6C">
        <w:rPr>
          <w:rFonts w:ascii="Arial" w:hAnsi="Arial" w:cs="Arial"/>
          <w:sz w:val="24"/>
          <w:szCs w:val="24"/>
        </w:rPr>
        <w:t>para</w:t>
      </w:r>
      <w:r w:rsidRPr="00066D6C">
        <w:rPr>
          <w:rFonts w:ascii="Arial" w:hAnsi="Arial" w:cs="Arial"/>
          <w:spacing w:val="-11"/>
          <w:sz w:val="24"/>
          <w:szCs w:val="24"/>
        </w:rPr>
        <w:t xml:space="preserve"> </w:t>
      </w:r>
      <w:r w:rsidRPr="00066D6C">
        <w:rPr>
          <w:rFonts w:ascii="Arial" w:hAnsi="Arial" w:cs="Arial"/>
          <w:sz w:val="24"/>
          <w:szCs w:val="24"/>
        </w:rPr>
        <w:t>pagos</w:t>
      </w:r>
      <w:r w:rsidRPr="00066D6C">
        <w:rPr>
          <w:rFonts w:ascii="Arial" w:hAnsi="Arial" w:cs="Arial"/>
          <w:spacing w:val="-13"/>
          <w:sz w:val="24"/>
          <w:szCs w:val="24"/>
        </w:rPr>
        <w:t xml:space="preserve"> </w:t>
      </w:r>
      <w:r w:rsidRPr="00066D6C">
        <w:rPr>
          <w:rFonts w:ascii="Arial" w:hAnsi="Arial" w:cs="Arial"/>
          <w:sz w:val="24"/>
          <w:szCs w:val="24"/>
        </w:rPr>
        <w:t>mensuales</w:t>
      </w:r>
      <w:r w:rsidRPr="00066D6C">
        <w:rPr>
          <w:rFonts w:ascii="Arial" w:hAnsi="Arial" w:cs="Arial"/>
          <w:spacing w:val="-11"/>
          <w:sz w:val="24"/>
          <w:szCs w:val="24"/>
        </w:rPr>
        <w:t xml:space="preserve"> </w:t>
      </w:r>
      <w:r w:rsidRPr="00066D6C">
        <w:rPr>
          <w:rFonts w:ascii="Arial" w:hAnsi="Arial" w:cs="Arial"/>
          <w:sz w:val="24"/>
          <w:szCs w:val="24"/>
        </w:rPr>
        <w:t>por</w:t>
      </w:r>
      <w:r w:rsidRPr="00066D6C">
        <w:rPr>
          <w:rFonts w:ascii="Arial" w:hAnsi="Arial" w:cs="Arial"/>
          <w:spacing w:val="-10"/>
          <w:sz w:val="24"/>
          <w:szCs w:val="24"/>
        </w:rPr>
        <w:t xml:space="preserve"> </w:t>
      </w:r>
      <w:r w:rsidRPr="00066D6C">
        <w:rPr>
          <w:rFonts w:ascii="Arial" w:hAnsi="Arial" w:cs="Arial"/>
          <w:sz w:val="24"/>
          <w:szCs w:val="24"/>
        </w:rPr>
        <w:t>uso</w:t>
      </w:r>
      <w:r w:rsidRPr="00066D6C">
        <w:rPr>
          <w:rFonts w:ascii="Arial" w:hAnsi="Arial" w:cs="Arial"/>
          <w:spacing w:val="-12"/>
          <w:sz w:val="24"/>
          <w:szCs w:val="24"/>
        </w:rPr>
        <w:t xml:space="preserve"> </w:t>
      </w:r>
      <w:r w:rsidRPr="00066D6C">
        <w:rPr>
          <w:rFonts w:ascii="Arial" w:hAnsi="Arial" w:cs="Arial"/>
          <w:sz w:val="24"/>
          <w:szCs w:val="24"/>
        </w:rPr>
        <w:t>y</w:t>
      </w:r>
      <w:r w:rsidRPr="00066D6C">
        <w:rPr>
          <w:rFonts w:ascii="Arial" w:hAnsi="Arial" w:cs="Arial"/>
          <w:spacing w:val="-13"/>
          <w:sz w:val="24"/>
          <w:szCs w:val="24"/>
        </w:rPr>
        <w:t xml:space="preserve"> </w:t>
      </w:r>
      <w:r w:rsidRPr="00066D6C">
        <w:rPr>
          <w:rFonts w:ascii="Arial" w:hAnsi="Arial" w:cs="Arial"/>
          <w:sz w:val="24"/>
          <w:szCs w:val="24"/>
        </w:rPr>
        <w:t>aprovechamiento</w:t>
      </w:r>
      <w:r w:rsidRPr="00066D6C">
        <w:rPr>
          <w:rFonts w:ascii="Arial" w:hAnsi="Arial" w:cs="Arial"/>
          <w:spacing w:val="-11"/>
          <w:sz w:val="24"/>
          <w:szCs w:val="24"/>
        </w:rPr>
        <w:t xml:space="preserve"> </w:t>
      </w:r>
      <w:r w:rsidRPr="00066D6C">
        <w:rPr>
          <w:rFonts w:ascii="Arial" w:hAnsi="Arial" w:cs="Arial"/>
          <w:sz w:val="24"/>
          <w:szCs w:val="24"/>
        </w:rPr>
        <w:t>un</w:t>
      </w:r>
      <w:r w:rsidRPr="00066D6C">
        <w:rPr>
          <w:rFonts w:ascii="Arial" w:hAnsi="Arial" w:cs="Arial"/>
          <w:spacing w:val="-12"/>
          <w:sz w:val="24"/>
          <w:szCs w:val="24"/>
        </w:rPr>
        <w:t xml:space="preserve"> </w:t>
      </w:r>
      <w:r w:rsidRPr="00066D6C">
        <w:rPr>
          <w:rFonts w:ascii="Arial" w:hAnsi="Arial" w:cs="Arial"/>
          <w:sz w:val="24"/>
          <w:szCs w:val="24"/>
        </w:rPr>
        <w:t>descuento</w:t>
      </w:r>
      <w:r w:rsidRPr="00066D6C">
        <w:rPr>
          <w:rFonts w:ascii="Arial" w:hAnsi="Arial" w:cs="Arial"/>
          <w:spacing w:val="-11"/>
          <w:sz w:val="24"/>
          <w:szCs w:val="24"/>
        </w:rPr>
        <w:t xml:space="preserve"> </w:t>
      </w:r>
      <w:r w:rsidRPr="00066D6C">
        <w:rPr>
          <w:rFonts w:ascii="Arial" w:hAnsi="Arial" w:cs="Arial"/>
          <w:sz w:val="24"/>
          <w:szCs w:val="24"/>
        </w:rPr>
        <w:t>del</w:t>
      </w:r>
      <w:r w:rsidRPr="00066D6C">
        <w:rPr>
          <w:rFonts w:ascii="Arial" w:hAnsi="Arial" w:cs="Arial"/>
          <w:spacing w:val="-12"/>
          <w:sz w:val="24"/>
          <w:szCs w:val="24"/>
        </w:rPr>
        <w:t xml:space="preserve"> </w:t>
      </w:r>
      <w:r w:rsidRPr="00066D6C">
        <w:rPr>
          <w:rFonts w:ascii="Arial" w:hAnsi="Arial" w:cs="Arial"/>
          <w:sz w:val="24"/>
          <w:szCs w:val="24"/>
        </w:rPr>
        <w:t>diez</w:t>
      </w:r>
      <w:r w:rsidRPr="00066D6C">
        <w:rPr>
          <w:rFonts w:ascii="Arial" w:hAnsi="Arial" w:cs="Arial"/>
          <w:spacing w:val="-14"/>
          <w:sz w:val="24"/>
          <w:szCs w:val="24"/>
        </w:rPr>
        <w:t xml:space="preserve"> </w:t>
      </w:r>
      <w:r w:rsidRPr="00066D6C">
        <w:rPr>
          <w:rFonts w:ascii="Arial" w:hAnsi="Arial" w:cs="Arial"/>
          <w:sz w:val="24"/>
          <w:szCs w:val="24"/>
        </w:rPr>
        <w:t>(10%)</w:t>
      </w:r>
      <w:r w:rsidRPr="00066D6C">
        <w:rPr>
          <w:rFonts w:ascii="Arial" w:hAnsi="Arial" w:cs="Arial"/>
          <w:spacing w:val="-10"/>
          <w:sz w:val="24"/>
          <w:szCs w:val="24"/>
        </w:rPr>
        <w:t xml:space="preserve"> </w:t>
      </w:r>
      <w:r w:rsidRPr="00066D6C">
        <w:rPr>
          <w:rFonts w:ascii="Arial" w:hAnsi="Arial" w:cs="Arial"/>
          <w:sz w:val="24"/>
          <w:szCs w:val="24"/>
        </w:rPr>
        <w:t>por</w:t>
      </w:r>
      <w:r>
        <w:rPr>
          <w:rFonts w:ascii="Arial" w:hAnsi="Arial" w:cs="Arial"/>
          <w:sz w:val="24"/>
          <w:szCs w:val="24"/>
        </w:rPr>
        <w:t xml:space="preserve"> </w:t>
      </w:r>
      <w:r w:rsidRPr="00066D6C">
        <w:rPr>
          <w:rFonts w:ascii="Arial" w:hAnsi="Arial" w:cs="Arial"/>
          <w:sz w:val="24"/>
          <w:szCs w:val="24"/>
        </w:rPr>
        <w:t>ciento en la tarifa mensual para los vivanderos y comerciantes que realicen el pago de la tarifa</w:t>
      </w:r>
      <w:r w:rsidRPr="00066D6C">
        <w:rPr>
          <w:rFonts w:ascii="Arial" w:hAnsi="Arial" w:cs="Arial"/>
          <w:spacing w:val="-3"/>
          <w:sz w:val="24"/>
          <w:szCs w:val="24"/>
        </w:rPr>
        <w:t xml:space="preserve"> </w:t>
      </w:r>
      <w:r w:rsidRPr="00066D6C">
        <w:rPr>
          <w:rFonts w:ascii="Arial" w:hAnsi="Arial" w:cs="Arial"/>
          <w:sz w:val="24"/>
          <w:szCs w:val="24"/>
        </w:rPr>
        <w:t>mensual</w:t>
      </w:r>
      <w:r w:rsidRPr="00066D6C">
        <w:rPr>
          <w:rFonts w:ascii="Arial" w:hAnsi="Arial" w:cs="Arial"/>
          <w:spacing w:val="-1"/>
          <w:sz w:val="24"/>
          <w:szCs w:val="24"/>
        </w:rPr>
        <w:t xml:space="preserve"> </w:t>
      </w:r>
      <w:r w:rsidRPr="00066D6C">
        <w:rPr>
          <w:rFonts w:ascii="Arial" w:hAnsi="Arial" w:cs="Arial"/>
          <w:sz w:val="24"/>
          <w:szCs w:val="24"/>
        </w:rPr>
        <w:t>dentro</w:t>
      </w:r>
      <w:r w:rsidRPr="00066D6C">
        <w:rPr>
          <w:rFonts w:ascii="Arial" w:hAnsi="Arial" w:cs="Arial"/>
          <w:spacing w:val="-1"/>
          <w:sz w:val="24"/>
          <w:szCs w:val="24"/>
        </w:rPr>
        <w:t xml:space="preserve"> </w:t>
      </w:r>
      <w:r w:rsidRPr="00066D6C">
        <w:rPr>
          <w:rFonts w:ascii="Arial" w:hAnsi="Arial" w:cs="Arial"/>
          <w:sz w:val="24"/>
          <w:szCs w:val="24"/>
        </w:rPr>
        <w:t>de</w:t>
      </w:r>
      <w:r w:rsidRPr="00066D6C">
        <w:rPr>
          <w:rFonts w:ascii="Arial" w:hAnsi="Arial" w:cs="Arial"/>
          <w:spacing w:val="-5"/>
          <w:sz w:val="24"/>
          <w:szCs w:val="24"/>
        </w:rPr>
        <w:t xml:space="preserve"> </w:t>
      </w:r>
      <w:r w:rsidRPr="00066D6C">
        <w:rPr>
          <w:rFonts w:ascii="Arial" w:hAnsi="Arial" w:cs="Arial"/>
          <w:sz w:val="24"/>
          <w:szCs w:val="24"/>
        </w:rPr>
        <w:t>los</w:t>
      </w:r>
      <w:r w:rsidRPr="00066D6C">
        <w:rPr>
          <w:rFonts w:ascii="Arial" w:hAnsi="Arial" w:cs="Arial"/>
          <w:spacing w:val="-1"/>
          <w:sz w:val="24"/>
          <w:szCs w:val="24"/>
        </w:rPr>
        <w:t xml:space="preserve"> </w:t>
      </w:r>
      <w:r w:rsidRPr="00066D6C">
        <w:rPr>
          <w:rFonts w:ascii="Arial" w:hAnsi="Arial" w:cs="Arial"/>
          <w:sz w:val="24"/>
          <w:szCs w:val="24"/>
        </w:rPr>
        <w:t>primeros</w:t>
      </w:r>
      <w:r w:rsidRPr="00066D6C">
        <w:rPr>
          <w:rFonts w:ascii="Arial" w:hAnsi="Arial" w:cs="Arial"/>
          <w:spacing w:val="-3"/>
          <w:sz w:val="24"/>
          <w:szCs w:val="24"/>
        </w:rPr>
        <w:t xml:space="preserve"> </w:t>
      </w:r>
      <w:r w:rsidRPr="00066D6C">
        <w:rPr>
          <w:rFonts w:ascii="Arial" w:hAnsi="Arial" w:cs="Arial"/>
          <w:sz w:val="24"/>
          <w:szCs w:val="24"/>
        </w:rPr>
        <w:t>diez</w:t>
      </w:r>
      <w:r w:rsidRPr="00066D6C">
        <w:rPr>
          <w:rFonts w:ascii="Arial" w:hAnsi="Arial" w:cs="Arial"/>
          <w:spacing w:val="-3"/>
          <w:sz w:val="24"/>
          <w:szCs w:val="24"/>
        </w:rPr>
        <w:t xml:space="preserve"> </w:t>
      </w:r>
      <w:r w:rsidRPr="00066D6C">
        <w:rPr>
          <w:rFonts w:ascii="Arial" w:hAnsi="Arial" w:cs="Arial"/>
          <w:sz w:val="24"/>
          <w:szCs w:val="24"/>
        </w:rPr>
        <w:t>días</w:t>
      </w:r>
      <w:r w:rsidRPr="00066D6C">
        <w:rPr>
          <w:rFonts w:ascii="Arial" w:hAnsi="Arial" w:cs="Arial"/>
          <w:spacing w:val="-1"/>
          <w:sz w:val="24"/>
          <w:szCs w:val="24"/>
        </w:rPr>
        <w:t xml:space="preserve"> </w:t>
      </w:r>
      <w:r w:rsidRPr="00066D6C">
        <w:rPr>
          <w:rFonts w:ascii="Arial" w:hAnsi="Arial" w:cs="Arial"/>
          <w:sz w:val="24"/>
          <w:szCs w:val="24"/>
        </w:rPr>
        <w:t>calendario</w:t>
      </w:r>
      <w:r w:rsidRPr="00066D6C">
        <w:rPr>
          <w:rFonts w:ascii="Arial" w:hAnsi="Arial" w:cs="Arial"/>
          <w:spacing w:val="-1"/>
          <w:sz w:val="24"/>
          <w:szCs w:val="24"/>
        </w:rPr>
        <w:t xml:space="preserve"> </w:t>
      </w:r>
      <w:r w:rsidRPr="00066D6C">
        <w:rPr>
          <w:rFonts w:ascii="Arial" w:hAnsi="Arial" w:cs="Arial"/>
          <w:sz w:val="24"/>
          <w:szCs w:val="24"/>
        </w:rPr>
        <w:t>del</w:t>
      </w:r>
      <w:r w:rsidRPr="00066D6C">
        <w:rPr>
          <w:rFonts w:ascii="Arial" w:hAnsi="Arial" w:cs="Arial"/>
          <w:spacing w:val="-1"/>
          <w:sz w:val="24"/>
          <w:szCs w:val="24"/>
        </w:rPr>
        <w:t xml:space="preserve"> </w:t>
      </w:r>
      <w:r w:rsidRPr="00066D6C">
        <w:rPr>
          <w:rFonts w:ascii="Arial" w:hAnsi="Arial" w:cs="Arial"/>
          <w:sz w:val="24"/>
          <w:szCs w:val="24"/>
        </w:rPr>
        <w:t>mes; y</w:t>
      </w:r>
      <w:r w:rsidRPr="00066D6C">
        <w:rPr>
          <w:rFonts w:ascii="Arial" w:hAnsi="Arial" w:cs="Arial"/>
          <w:spacing w:val="-3"/>
          <w:sz w:val="24"/>
          <w:szCs w:val="24"/>
        </w:rPr>
        <w:t xml:space="preserve"> </w:t>
      </w:r>
      <w:r w:rsidRPr="00066D6C">
        <w:rPr>
          <w:rFonts w:ascii="Arial" w:hAnsi="Arial" w:cs="Arial"/>
          <w:sz w:val="24"/>
          <w:szCs w:val="24"/>
        </w:rPr>
        <w:t>para</w:t>
      </w:r>
      <w:r w:rsidRPr="00066D6C">
        <w:rPr>
          <w:rFonts w:ascii="Arial" w:hAnsi="Arial" w:cs="Arial"/>
          <w:spacing w:val="-5"/>
          <w:sz w:val="24"/>
          <w:szCs w:val="24"/>
        </w:rPr>
        <w:t xml:space="preserve"> </w:t>
      </w:r>
      <w:r w:rsidRPr="00066D6C">
        <w:rPr>
          <w:rFonts w:ascii="Arial" w:hAnsi="Arial" w:cs="Arial"/>
          <w:sz w:val="24"/>
          <w:szCs w:val="24"/>
        </w:rPr>
        <w:t>pago</w:t>
      </w:r>
      <w:r w:rsidRPr="00066D6C">
        <w:rPr>
          <w:rFonts w:ascii="Arial" w:hAnsi="Arial" w:cs="Arial"/>
          <w:spacing w:val="-1"/>
          <w:sz w:val="24"/>
          <w:szCs w:val="24"/>
        </w:rPr>
        <w:t xml:space="preserve"> </w:t>
      </w:r>
      <w:r w:rsidRPr="00066D6C">
        <w:rPr>
          <w:rFonts w:ascii="Arial" w:hAnsi="Arial" w:cs="Arial"/>
          <w:sz w:val="24"/>
          <w:szCs w:val="24"/>
        </w:rPr>
        <w:t>anticipado de la anualidad con la suscripción del instrumento que autorice el uso y aprovechamiento se concederá un descuento del veinte (20%) por</w:t>
      </w:r>
      <w:r w:rsidRPr="00066D6C">
        <w:rPr>
          <w:rFonts w:ascii="Arial" w:hAnsi="Arial" w:cs="Arial"/>
          <w:spacing w:val="-1"/>
          <w:sz w:val="24"/>
          <w:szCs w:val="24"/>
        </w:rPr>
        <w:t xml:space="preserve"> </w:t>
      </w:r>
      <w:r w:rsidRPr="00066D6C">
        <w:rPr>
          <w:rFonts w:ascii="Arial" w:hAnsi="Arial" w:cs="Arial"/>
          <w:sz w:val="24"/>
          <w:szCs w:val="24"/>
        </w:rPr>
        <w:t>ciento. Además, el</w:t>
      </w:r>
      <w:r w:rsidRPr="00066D6C">
        <w:rPr>
          <w:rFonts w:ascii="Arial" w:hAnsi="Arial" w:cs="Arial"/>
          <w:spacing w:val="-1"/>
          <w:sz w:val="24"/>
          <w:szCs w:val="24"/>
        </w:rPr>
        <w:t xml:space="preserve"> </w:t>
      </w:r>
      <w:r w:rsidRPr="00066D6C">
        <w:rPr>
          <w:rFonts w:ascii="Arial" w:hAnsi="Arial" w:cs="Arial"/>
          <w:sz w:val="24"/>
          <w:szCs w:val="24"/>
        </w:rPr>
        <w:t>IPES</w:t>
      </w:r>
      <w:r w:rsidRPr="00066D6C">
        <w:rPr>
          <w:rFonts w:ascii="Arial" w:hAnsi="Arial" w:cs="Arial"/>
          <w:spacing w:val="-2"/>
          <w:sz w:val="24"/>
          <w:szCs w:val="24"/>
        </w:rPr>
        <w:t xml:space="preserve"> </w:t>
      </w:r>
      <w:r w:rsidRPr="00066D6C">
        <w:rPr>
          <w:rFonts w:ascii="Arial" w:hAnsi="Arial" w:cs="Arial"/>
          <w:sz w:val="24"/>
          <w:szCs w:val="24"/>
        </w:rPr>
        <w:t>establecerá una tarifa</w:t>
      </w:r>
      <w:r w:rsidRPr="00066D6C">
        <w:rPr>
          <w:rFonts w:ascii="Arial" w:hAnsi="Arial" w:cs="Arial"/>
          <w:spacing w:val="-4"/>
          <w:sz w:val="24"/>
          <w:szCs w:val="24"/>
        </w:rPr>
        <w:t xml:space="preserve"> </w:t>
      </w:r>
      <w:r w:rsidRPr="00066D6C">
        <w:rPr>
          <w:rFonts w:ascii="Arial" w:hAnsi="Arial" w:cs="Arial"/>
          <w:sz w:val="24"/>
          <w:szCs w:val="24"/>
        </w:rPr>
        <w:t>preferencial</w:t>
      </w:r>
      <w:r w:rsidRPr="00066D6C">
        <w:rPr>
          <w:rFonts w:ascii="Arial" w:hAnsi="Arial" w:cs="Arial"/>
          <w:spacing w:val="-3"/>
          <w:sz w:val="24"/>
          <w:szCs w:val="24"/>
        </w:rPr>
        <w:t xml:space="preserve"> </w:t>
      </w:r>
      <w:r w:rsidRPr="00066D6C">
        <w:rPr>
          <w:rFonts w:ascii="Arial" w:hAnsi="Arial" w:cs="Arial"/>
          <w:sz w:val="24"/>
          <w:szCs w:val="24"/>
        </w:rPr>
        <w:t>para</w:t>
      </w:r>
      <w:r w:rsidRPr="00066D6C">
        <w:rPr>
          <w:rFonts w:ascii="Arial" w:hAnsi="Arial" w:cs="Arial"/>
          <w:spacing w:val="-2"/>
          <w:sz w:val="24"/>
          <w:szCs w:val="24"/>
        </w:rPr>
        <w:t xml:space="preserve"> </w:t>
      </w:r>
      <w:r w:rsidRPr="00066D6C">
        <w:rPr>
          <w:rFonts w:ascii="Arial" w:hAnsi="Arial" w:cs="Arial"/>
          <w:sz w:val="24"/>
          <w:szCs w:val="24"/>
        </w:rPr>
        <w:t>los</w:t>
      </w:r>
      <w:r w:rsidRPr="00066D6C">
        <w:rPr>
          <w:rFonts w:ascii="Arial" w:hAnsi="Arial" w:cs="Arial"/>
          <w:spacing w:val="-1"/>
          <w:sz w:val="24"/>
          <w:szCs w:val="24"/>
        </w:rPr>
        <w:t xml:space="preserve"> </w:t>
      </w:r>
      <w:r w:rsidRPr="00066D6C">
        <w:rPr>
          <w:rFonts w:ascii="Arial" w:hAnsi="Arial" w:cs="Arial"/>
          <w:sz w:val="24"/>
          <w:szCs w:val="24"/>
        </w:rPr>
        <w:t>campesinos</w:t>
      </w:r>
      <w:r w:rsidRPr="00066D6C">
        <w:rPr>
          <w:rFonts w:ascii="Arial" w:hAnsi="Arial" w:cs="Arial"/>
          <w:spacing w:val="-1"/>
          <w:sz w:val="24"/>
          <w:szCs w:val="24"/>
        </w:rPr>
        <w:t xml:space="preserve"> </w:t>
      </w:r>
      <w:r w:rsidRPr="00066D6C">
        <w:rPr>
          <w:rFonts w:ascii="Arial" w:hAnsi="Arial" w:cs="Arial"/>
          <w:sz w:val="24"/>
          <w:szCs w:val="24"/>
        </w:rPr>
        <w:t>y</w:t>
      </w:r>
      <w:r w:rsidRPr="00066D6C">
        <w:rPr>
          <w:rFonts w:ascii="Arial" w:hAnsi="Arial" w:cs="Arial"/>
          <w:spacing w:val="-6"/>
          <w:sz w:val="24"/>
          <w:szCs w:val="24"/>
        </w:rPr>
        <w:t xml:space="preserve"> </w:t>
      </w:r>
      <w:r w:rsidRPr="00066D6C">
        <w:rPr>
          <w:rFonts w:ascii="Arial" w:hAnsi="Arial" w:cs="Arial"/>
          <w:sz w:val="24"/>
          <w:szCs w:val="24"/>
        </w:rPr>
        <w:t>grupos</w:t>
      </w:r>
      <w:r w:rsidRPr="00066D6C">
        <w:rPr>
          <w:rFonts w:ascii="Arial" w:hAnsi="Arial" w:cs="Arial"/>
          <w:spacing w:val="-1"/>
          <w:sz w:val="24"/>
          <w:szCs w:val="24"/>
        </w:rPr>
        <w:t xml:space="preserve"> </w:t>
      </w:r>
      <w:r w:rsidRPr="00066D6C">
        <w:rPr>
          <w:rFonts w:ascii="Arial" w:hAnsi="Arial" w:cs="Arial"/>
          <w:sz w:val="24"/>
          <w:szCs w:val="24"/>
        </w:rPr>
        <w:t>de</w:t>
      </w:r>
      <w:r w:rsidRPr="00066D6C">
        <w:rPr>
          <w:rFonts w:ascii="Arial" w:hAnsi="Arial" w:cs="Arial"/>
          <w:spacing w:val="-2"/>
          <w:sz w:val="24"/>
          <w:szCs w:val="24"/>
        </w:rPr>
        <w:t xml:space="preserve"> </w:t>
      </w:r>
      <w:r w:rsidRPr="00066D6C">
        <w:rPr>
          <w:rFonts w:ascii="Arial" w:hAnsi="Arial" w:cs="Arial"/>
          <w:sz w:val="24"/>
          <w:szCs w:val="24"/>
        </w:rPr>
        <w:t>personas</w:t>
      </w:r>
      <w:r w:rsidRPr="00066D6C">
        <w:rPr>
          <w:rFonts w:ascii="Arial" w:hAnsi="Arial" w:cs="Arial"/>
          <w:spacing w:val="-4"/>
          <w:sz w:val="24"/>
          <w:szCs w:val="24"/>
        </w:rPr>
        <w:t xml:space="preserve"> </w:t>
      </w:r>
      <w:r w:rsidRPr="00066D6C">
        <w:rPr>
          <w:rFonts w:ascii="Arial" w:hAnsi="Arial" w:cs="Arial"/>
          <w:sz w:val="24"/>
          <w:szCs w:val="24"/>
        </w:rPr>
        <w:t>con</w:t>
      </w:r>
      <w:r w:rsidRPr="00066D6C">
        <w:rPr>
          <w:rFonts w:ascii="Arial" w:hAnsi="Arial" w:cs="Arial"/>
          <w:spacing w:val="-4"/>
          <w:sz w:val="24"/>
          <w:szCs w:val="24"/>
        </w:rPr>
        <w:t xml:space="preserve"> </w:t>
      </w:r>
      <w:r w:rsidRPr="00066D6C">
        <w:rPr>
          <w:rFonts w:ascii="Arial" w:hAnsi="Arial" w:cs="Arial"/>
          <w:sz w:val="24"/>
          <w:szCs w:val="24"/>
        </w:rPr>
        <w:t>protección</w:t>
      </w:r>
      <w:r w:rsidRPr="00066D6C">
        <w:rPr>
          <w:rFonts w:ascii="Arial" w:hAnsi="Arial" w:cs="Arial"/>
          <w:spacing w:val="-2"/>
          <w:sz w:val="24"/>
          <w:szCs w:val="24"/>
        </w:rPr>
        <w:t xml:space="preserve"> </w:t>
      </w:r>
      <w:r w:rsidRPr="00066D6C">
        <w:rPr>
          <w:rFonts w:ascii="Arial" w:hAnsi="Arial" w:cs="Arial"/>
          <w:sz w:val="24"/>
          <w:szCs w:val="24"/>
        </w:rPr>
        <w:t>constitucional especial. Para estos efectos, el valor podrá tener un descuento hasta de un treinta (30%) por ciento del valor total; para su aplicación se identificará y caracterizará a las personas que informen pertenecer a los referidos grupos referidos para el cumplimiento de las condicionantes por parte del IPES.</w:t>
      </w:r>
    </w:p>
    <w:p w14:paraId="0150B411" w14:textId="77777777" w:rsidR="00066D6C" w:rsidRPr="00066D6C" w:rsidRDefault="00066D6C" w:rsidP="00066D6C">
      <w:pPr>
        <w:pStyle w:val="Textoindependiente"/>
        <w:spacing w:before="250"/>
        <w:rPr>
          <w:rFonts w:ascii="Arial" w:hAnsi="Arial" w:cs="Arial"/>
          <w:sz w:val="24"/>
          <w:szCs w:val="24"/>
        </w:rPr>
      </w:pPr>
    </w:p>
    <w:p w14:paraId="1018AA66" w14:textId="1F853D37" w:rsidR="00066D6C" w:rsidRPr="00066D6C" w:rsidRDefault="00066D6C" w:rsidP="00066D6C">
      <w:pPr>
        <w:pStyle w:val="Textoindependiente"/>
        <w:spacing w:line="242" w:lineRule="auto"/>
        <w:ind w:left="2" w:right="136"/>
        <w:jc w:val="both"/>
        <w:rPr>
          <w:rFonts w:ascii="Arial" w:hAnsi="Arial" w:cs="Arial"/>
          <w:sz w:val="24"/>
          <w:szCs w:val="24"/>
        </w:rPr>
      </w:pPr>
      <w:r w:rsidRPr="00066D6C">
        <w:rPr>
          <w:rFonts w:ascii="Arial" w:hAnsi="Arial" w:cs="Arial"/>
          <w:b/>
          <w:sz w:val="24"/>
          <w:szCs w:val="24"/>
        </w:rPr>
        <w:t xml:space="preserve">ARTÍCULO </w:t>
      </w:r>
      <w:r w:rsidR="00DC7783">
        <w:rPr>
          <w:rFonts w:ascii="Arial" w:hAnsi="Arial" w:cs="Arial"/>
          <w:b/>
          <w:sz w:val="24"/>
          <w:szCs w:val="24"/>
        </w:rPr>
        <w:t>6</w:t>
      </w:r>
      <w:r w:rsidRPr="00066D6C">
        <w:rPr>
          <w:rFonts w:ascii="Arial" w:hAnsi="Arial" w:cs="Arial"/>
          <w:b/>
          <w:sz w:val="24"/>
          <w:szCs w:val="24"/>
        </w:rPr>
        <w:t xml:space="preserve">. VIGENCIA. </w:t>
      </w:r>
      <w:r w:rsidRPr="00066D6C">
        <w:rPr>
          <w:rFonts w:ascii="Arial" w:hAnsi="Arial" w:cs="Arial"/>
          <w:sz w:val="24"/>
          <w:szCs w:val="24"/>
        </w:rPr>
        <w:t xml:space="preserve">El presente Acuerdo rige a partir de la fecha de su publicación, otorgando a la Administración un plazo no mayor a doce (12) meses, contados a partir de la expedición del presente Acuerdo, para adelantar las gestiones necesarias para su </w:t>
      </w:r>
      <w:r w:rsidRPr="00066D6C">
        <w:rPr>
          <w:rFonts w:ascii="Arial" w:hAnsi="Arial" w:cs="Arial"/>
          <w:spacing w:val="-2"/>
          <w:sz w:val="24"/>
          <w:szCs w:val="24"/>
        </w:rPr>
        <w:t>ejecución.</w:t>
      </w:r>
    </w:p>
    <w:p w14:paraId="1D4DC3B4" w14:textId="77777777" w:rsidR="00066D6C" w:rsidRPr="00066D6C" w:rsidRDefault="00066D6C" w:rsidP="00066D6C">
      <w:pPr>
        <w:pStyle w:val="Textoindependiente"/>
        <w:spacing w:before="244"/>
        <w:rPr>
          <w:rFonts w:ascii="Arial" w:hAnsi="Arial" w:cs="Arial"/>
          <w:sz w:val="24"/>
          <w:szCs w:val="24"/>
        </w:rPr>
      </w:pPr>
    </w:p>
    <w:p w14:paraId="4B599BA8" w14:textId="77777777" w:rsidR="00066D6C" w:rsidRPr="00066D6C" w:rsidRDefault="00066D6C" w:rsidP="00066D6C">
      <w:pPr>
        <w:ind w:left="1" w:right="143"/>
        <w:jc w:val="center"/>
        <w:rPr>
          <w:b/>
        </w:rPr>
      </w:pPr>
      <w:r w:rsidRPr="00066D6C">
        <w:rPr>
          <w:b/>
        </w:rPr>
        <w:t>PUBLÍQUESE</w:t>
      </w:r>
      <w:r w:rsidRPr="00066D6C">
        <w:rPr>
          <w:b/>
          <w:spacing w:val="-4"/>
        </w:rPr>
        <w:t xml:space="preserve"> </w:t>
      </w:r>
      <w:r w:rsidRPr="00066D6C">
        <w:rPr>
          <w:b/>
        </w:rPr>
        <w:t>Y</w:t>
      </w:r>
      <w:r w:rsidRPr="00066D6C">
        <w:rPr>
          <w:b/>
          <w:spacing w:val="-4"/>
        </w:rPr>
        <w:t xml:space="preserve"> </w:t>
      </w:r>
      <w:r w:rsidRPr="00066D6C">
        <w:rPr>
          <w:b/>
          <w:spacing w:val="-2"/>
        </w:rPr>
        <w:t>CÚMPLASE</w:t>
      </w:r>
    </w:p>
    <w:p w14:paraId="1CE639F6" w14:textId="0B91A7DC" w:rsidR="004D0443" w:rsidRPr="00066D6C" w:rsidRDefault="004D0443" w:rsidP="00066D6C">
      <w:pPr>
        <w:ind w:left="402" w:right="546" w:hanging="1"/>
        <w:jc w:val="center"/>
        <w:rPr>
          <w:b/>
          <w:color w:val="000000"/>
        </w:rPr>
      </w:pPr>
    </w:p>
    <w:sectPr w:rsidR="004D0443" w:rsidRPr="00066D6C" w:rsidSect="00066D6C">
      <w:headerReference w:type="default" r:id="rId8"/>
      <w:footerReference w:type="even" r:id="rId9"/>
      <w:footerReference w:type="default" r:id="rId10"/>
      <w:pgSz w:w="12250" w:h="15850"/>
      <w:pgMar w:top="2820" w:right="1559" w:bottom="280" w:left="1700" w:header="143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9D052" w14:textId="77777777" w:rsidR="005E5BC2" w:rsidRDefault="005E5BC2">
      <w:r>
        <w:separator/>
      </w:r>
    </w:p>
  </w:endnote>
  <w:endnote w:type="continuationSeparator" w:id="0">
    <w:p w14:paraId="62C5F5F1" w14:textId="77777777" w:rsidR="005E5BC2" w:rsidRDefault="005E5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2D" w14:textId="77777777" w:rsidR="004D0443" w:rsidRDefault="00DA3067">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1CE63A2E" w14:textId="77777777" w:rsidR="004D0443" w:rsidRDefault="004D0443">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2F"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0"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1" w14:textId="77777777" w:rsidR="004D0443" w:rsidRDefault="004D0443">
    <w:pPr>
      <w:pBdr>
        <w:top w:val="nil"/>
        <w:left w:val="nil"/>
        <w:bottom w:val="nil"/>
        <w:right w:val="nil"/>
        <w:between w:val="nil"/>
      </w:pBdr>
      <w:tabs>
        <w:tab w:val="center" w:pos="4252"/>
        <w:tab w:val="right" w:pos="8504"/>
      </w:tabs>
      <w:jc w:val="center"/>
      <w:rPr>
        <w:color w:val="000000"/>
        <w:sz w:val="16"/>
        <w:szCs w:val="16"/>
      </w:rPr>
    </w:pPr>
  </w:p>
  <w:p w14:paraId="1CE63A32"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3"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4" w14:textId="77777777" w:rsidR="004D0443" w:rsidRDefault="004D0443">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96236" w14:textId="77777777" w:rsidR="005E5BC2" w:rsidRDefault="005E5BC2">
      <w:r>
        <w:separator/>
      </w:r>
    </w:p>
  </w:footnote>
  <w:footnote w:type="continuationSeparator" w:id="0">
    <w:p w14:paraId="1C5B5AF0" w14:textId="77777777" w:rsidR="005E5BC2" w:rsidRDefault="005E5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1F" w14:textId="77777777" w:rsidR="004D0443" w:rsidRDefault="004D0443">
    <w:pPr>
      <w:widowControl w:val="0"/>
      <w:pBdr>
        <w:top w:val="nil"/>
        <w:left w:val="nil"/>
        <w:bottom w:val="nil"/>
        <w:right w:val="nil"/>
        <w:between w:val="nil"/>
      </w:pBdr>
      <w:spacing w:line="276" w:lineRule="auto"/>
      <w:rPr>
        <w:rFonts w:ascii="Bookman Old Style" w:eastAsia="Bookman Old Style" w:hAnsi="Bookman Old Style" w:cs="Bookman Old Style"/>
        <w:sz w:val="20"/>
        <w:szCs w:val="20"/>
      </w:rPr>
    </w:pPr>
  </w:p>
  <w:tbl>
    <w:tblPr>
      <w:tblStyle w:val="aff4"/>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4D0443" w14:paraId="1CE63A23" w14:textId="77777777">
      <w:trPr>
        <w:trHeight w:val="454"/>
      </w:trPr>
      <w:tc>
        <w:tcPr>
          <w:tcW w:w="2361" w:type="dxa"/>
          <w:vMerge w:val="restart"/>
          <w:vAlign w:val="center"/>
        </w:tcPr>
        <w:p w14:paraId="1CE63A20" w14:textId="77777777" w:rsidR="004D0443" w:rsidRDefault="00DA3067">
          <w:pPr>
            <w:jc w:val="center"/>
            <w:rPr>
              <w:sz w:val="16"/>
              <w:szCs w:val="16"/>
            </w:rPr>
          </w:pPr>
          <w:r>
            <w:rPr>
              <w:noProof/>
              <w:sz w:val="16"/>
              <w:szCs w:val="16"/>
              <w:lang w:val="es-CO"/>
            </w:rPr>
            <w:drawing>
              <wp:inline distT="0" distB="0" distL="0" distR="0" wp14:anchorId="1CE63A35" wp14:editId="1CE63A36">
                <wp:extent cx="749935" cy="883920"/>
                <wp:effectExtent l="0" t="0" r="0" b="0"/>
                <wp:docPr id="152"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vAlign w:val="center"/>
        </w:tcPr>
        <w:p w14:paraId="1CE63A21" w14:textId="77777777" w:rsidR="004D0443" w:rsidRDefault="00DA3067">
          <w:pPr>
            <w:jc w:val="center"/>
            <w:rPr>
              <w:sz w:val="18"/>
              <w:szCs w:val="18"/>
            </w:rPr>
          </w:pPr>
          <w:r>
            <w:rPr>
              <w:sz w:val="18"/>
              <w:szCs w:val="18"/>
            </w:rPr>
            <w:t>PROCESO GESTIÓN NORMATIVA</w:t>
          </w:r>
        </w:p>
      </w:tc>
      <w:tc>
        <w:tcPr>
          <w:tcW w:w="2234" w:type="dxa"/>
          <w:vAlign w:val="center"/>
        </w:tcPr>
        <w:p w14:paraId="1CE63A22" w14:textId="77777777" w:rsidR="004D0443" w:rsidRDefault="00DA3067">
          <w:pPr>
            <w:rPr>
              <w:sz w:val="16"/>
              <w:szCs w:val="16"/>
            </w:rPr>
          </w:pPr>
          <w:r>
            <w:rPr>
              <w:sz w:val="16"/>
              <w:szCs w:val="16"/>
            </w:rPr>
            <w:t>CÓDIGO</w:t>
          </w:r>
          <w:r>
            <w:rPr>
              <w:color w:val="3366FF"/>
              <w:sz w:val="16"/>
              <w:szCs w:val="16"/>
            </w:rPr>
            <w:t xml:space="preserve">: </w:t>
          </w:r>
          <w:r>
            <w:rPr>
              <w:sz w:val="16"/>
              <w:szCs w:val="16"/>
            </w:rPr>
            <w:t>GNV-FO-001</w:t>
          </w:r>
        </w:p>
      </w:tc>
    </w:tr>
    <w:tr w:rsidR="004D0443" w14:paraId="1CE63A27" w14:textId="77777777">
      <w:trPr>
        <w:trHeight w:val="454"/>
      </w:trPr>
      <w:tc>
        <w:tcPr>
          <w:tcW w:w="2361" w:type="dxa"/>
          <w:vMerge/>
          <w:vAlign w:val="center"/>
        </w:tcPr>
        <w:p w14:paraId="1CE63A24"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restart"/>
          <w:vAlign w:val="center"/>
        </w:tcPr>
        <w:p w14:paraId="1CE63A25" w14:textId="77777777" w:rsidR="004D0443" w:rsidRDefault="00DA3067">
          <w:pPr>
            <w:jc w:val="center"/>
            <w:rPr>
              <w:sz w:val="20"/>
              <w:szCs w:val="20"/>
            </w:rPr>
          </w:pPr>
          <w:r>
            <w:rPr>
              <w:sz w:val="20"/>
              <w:szCs w:val="20"/>
            </w:rPr>
            <w:t>PRESENTACIÓN PROYECTOS DE ACUERDO</w:t>
          </w:r>
        </w:p>
      </w:tc>
      <w:tc>
        <w:tcPr>
          <w:tcW w:w="2234" w:type="dxa"/>
          <w:vAlign w:val="center"/>
        </w:tcPr>
        <w:p w14:paraId="1CE63A26" w14:textId="77777777" w:rsidR="004D0443" w:rsidRDefault="00DA3067">
          <w:pPr>
            <w:rPr>
              <w:sz w:val="16"/>
              <w:szCs w:val="16"/>
            </w:rPr>
          </w:pPr>
          <w:r>
            <w:rPr>
              <w:sz w:val="16"/>
              <w:szCs w:val="16"/>
            </w:rPr>
            <w:t>VERSIÓN:    02</w:t>
          </w:r>
        </w:p>
      </w:tc>
    </w:tr>
    <w:tr w:rsidR="004D0443" w14:paraId="1CE63A2B" w14:textId="77777777">
      <w:trPr>
        <w:trHeight w:val="454"/>
      </w:trPr>
      <w:tc>
        <w:tcPr>
          <w:tcW w:w="2361" w:type="dxa"/>
          <w:vMerge/>
          <w:vAlign w:val="center"/>
        </w:tcPr>
        <w:p w14:paraId="1CE63A28"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ign w:val="center"/>
        </w:tcPr>
        <w:p w14:paraId="1CE63A29" w14:textId="77777777" w:rsidR="004D0443" w:rsidRDefault="004D0443">
          <w:pPr>
            <w:widowControl w:val="0"/>
            <w:pBdr>
              <w:top w:val="nil"/>
              <w:left w:val="nil"/>
              <w:bottom w:val="nil"/>
              <w:right w:val="nil"/>
              <w:between w:val="nil"/>
            </w:pBdr>
            <w:spacing w:line="276" w:lineRule="auto"/>
            <w:rPr>
              <w:sz w:val="16"/>
              <w:szCs w:val="16"/>
            </w:rPr>
          </w:pPr>
        </w:p>
      </w:tc>
      <w:tc>
        <w:tcPr>
          <w:tcW w:w="2234" w:type="dxa"/>
          <w:vAlign w:val="center"/>
        </w:tcPr>
        <w:p w14:paraId="1CE63A2A" w14:textId="77777777" w:rsidR="004D0443" w:rsidRDefault="00DA3067">
          <w:pPr>
            <w:rPr>
              <w:sz w:val="16"/>
              <w:szCs w:val="16"/>
            </w:rPr>
          </w:pPr>
          <w:r>
            <w:rPr>
              <w:sz w:val="16"/>
              <w:szCs w:val="16"/>
            </w:rPr>
            <w:t>FECHA: 14-Nov-2019</w:t>
          </w:r>
        </w:p>
      </w:tc>
    </w:tr>
  </w:tbl>
  <w:p w14:paraId="1CE63A2C" w14:textId="77777777" w:rsidR="004D0443" w:rsidRDefault="004D0443">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059F5"/>
    <w:multiLevelType w:val="multilevel"/>
    <w:tmpl w:val="AD202C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B2530D6"/>
    <w:multiLevelType w:val="multilevel"/>
    <w:tmpl w:val="5BE023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EE341DA"/>
    <w:multiLevelType w:val="hybridMultilevel"/>
    <w:tmpl w:val="2CC02CFA"/>
    <w:lvl w:ilvl="0" w:tplc="BB564FB8">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C5AE4E38">
      <w:numFmt w:val="bullet"/>
      <w:lvlText w:val="•"/>
      <w:lvlJc w:val="left"/>
      <w:pPr>
        <w:ind w:left="1818" w:hanging="361"/>
      </w:pPr>
      <w:rPr>
        <w:rFonts w:hint="default"/>
        <w:lang w:val="es-ES" w:eastAsia="en-US" w:bidi="ar-SA"/>
      </w:rPr>
    </w:lvl>
    <w:lvl w:ilvl="2" w:tplc="384C4866">
      <w:numFmt w:val="bullet"/>
      <w:lvlText w:val="•"/>
      <w:lvlJc w:val="left"/>
      <w:pPr>
        <w:ind w:left="2656" w:hanging="361"/>
      </w:pPr>
      <w:rPr>
        <w:rFonts w:hint="default"/>
        <w:lang w:val="es-ES" w:eastAsia="en-US" w:bidi="ar-SA"/>
      </w:rPr>
    </w:lvl>
    <w:lvl w:ilvl="3" w:tplc="BED8F58A">
      <w:numFmt w:val="bullet"/>
      <w:lvlText w:val="•"/>
      <w:lvlJc w:val="left"/>
      <w:pPr>
        <w:ind w:left="3494" w:hanging="361"/>
      </w:pPr>
      <w:rPr>
        <w:rFonts w:hint="default"/>
        <w:lang w:val="es-ES" w:eastAsia="en-US" w:bidi="ar-SA"/>
      </w:rPr>
    </w:lvl>
    <w:lvl w:ilvl="4" w:tplc="69763BBE">
      <w:numFmt w:val="bullet"/>
      <w:lvlText w:val="•"/>
      <w:lvlJc w:val="left"/>
      <w:pPr>
        <w:ind w:left="4332" w:hanging="361"/>
      </w:pPr>
      <w:rPr>
        <w:rFonts w:hint="default"/>
        <w:lang w:val="es-ES" w:eastAsia="en-US" w:bidi="ar-SA"/>
      </w:rPr>
    </w:lvl>
    <w:lvl w:ilvl="5" w:tplc="7630AA76">
      <w:numFmt w:val="bullet"/>
      <w:lvlText w:val="•"/>
      <w:lvlJc w:val="left"/>
      <w:pPr>
        <w:ind w:left="5170" w:hanging="361"/>
      </w:pPr>
      <w:rPr>
        <w:rFonts w:hint="default"/>
        <w:lang w:val="es-ES" w:eastAsia="en-US" w:bidi="ar-SA"/>
      </w:rPr>
    </w:lvl>
    <w:lvl w:ilvl="6" w:tplc="1DC09A94">
      <w:numFmt w:val="bullet"/>
      <w:lvlText w:val="•"/>
      <w:lvlJc w:val="left"/>
      <w:pPr>
        <w:ind w:left="6008" w:hanging="361"/>
      </w:pPr>
      <w:rPr>
        <w:rFonts w:hint="default"/>
        <w:lang w:val="es-ES" w:eastAsia="en-US" w:bidi="ar-SA"/>
      </w:rPr>
    </w:lvl>
    <w:lvl w:ilvl="7" w:tplc="C658CE04">
      <w:numFmt w:val="bullet"/>
      <w:lvlText w:val="•"/>
      <w:lvlJc w:val="left"/>
      <w:pPr>
        <w:ind w:left="6846" w:hanging="361"/>
      </w:pPr>
      <w:rPr>
        <w:rFonts w:hint="default"/>
        <w:lang w:val="es-ES" w:eastAsia="en-US" w:bidi="ar-SA"/>
      </w:rPr>
    </w:lvl>
    <w:lvl w:ilvl="8" w:tplc="E5FEDF1E">
      <w:numFmt w:val="bullet"/>
      <w:lvlText w:val="•"/>
      <w:lvlJc w:val="left"/>
      <w:pPr>
        <w:ind w:left="7684" w:hanging="361"/>
      </w:pPr>
      <w:rPr>
        <w:rFonts w:hint="default"/>
        <w:lang w:val="es-ES" w:eastAsia="en-US" w:bidi="ar-SA"/>
      </w:rPr>
    </w:lvl>
  </w:abstractNum>
  <w:abstractNum w:abstractNumId="3" w15:restartNumberingAfterBreak="0">
    <w:nsid w:val="46F3240F"/>
    <w:multiLevelType w:val="multilevel"/>
    <w:tmpl w:val="38A0CC2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411208E"/>
    <w:multiLevelType w:val="hybridMultilevel"/>
    <w:tmpl w:val="508A1F14"/>
    <w:lvl w:ilvl="0" w:tplc="8E3E511C">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2C5E767C">
      <w:numFmt w:val="bullet"/>
      <w:lvlText w:val="•"/>
      <w:lvlJc w:val="left"/>
      <w:pPr>
        <w:ind w:left="1818" w:hanging="361"/>
      </w:pPr>
      <w:rPr>
        <w:rFonts w:hint="default"/>
        <w:lang w:val="es-ES" w:eastAsia="en-US" w:bidi="ar-SA"/>
      </w:rPr>
    </w:lvl>
    <w:lvl w:ilvl="2" w:tplc="D37CF61A">
      <w:numFmt w:val="bullet"/>
      <w:lvlText w:val="•"/>
      <w:lvlJc w:val="left"/>
      <w:pPr>
        <w:ind w:left="2656" w:hanging="361"/>
      </w:pPr>
      <w:rPr>
        <w:rFonts w:hint="default"/>
        <w:lang w:val="es-ES" w:eastAsia="en-US" w:bidi="ar-SA"/>
      </w:rPr>
    </w:lvl>
    <w:lvl w:ilvl="3" w:tplc="F45AA688">
      <w:numFmt w:val="bullet"/>
      <w:lvlText w:val="•"/>
      <w:lvlJc w:val="left"/>
      <w:pPr>
        <w:ind w:left="3494" w:hanging="361"/>
      </w:pPr>
      <w:rPr>
        <w:rFonts w:hint="default"/>
        <w:lang w:val="es-ES" w:eastAsia="en-US" w:bidi="ar-SA"/>
      </w:rPr>
    </w:lvl>
    <w:lvl w:ilvl="4" w:tplc="20DE55CA">
      <w:numFmt w:val="bullet"/>
      <w:lvlText w:val="•"/>
      <w:lvlJc w:val="left"/>
      <w:pPr>
        <w:ind w:left="4332" w:hanging="361"/>
      </w:pPr>
      <w:rPr>
        <w:rFonts w:hint="default"/>
        <w:lang w:val="es-ES" w:eastAsia="en-US" w:bidi="ar-SA"/>
      </w:rPr>
    </w:lvl>
    <w:lvl w:ilvl="5" w:tplc="900EFDA0">
      <w:numFmt w:val="bullet"/>
      <w:lvlText w:val="•"/>
      <w:lvlJc w:val="left"/>
      <w:pPr>
        <w:ind w:left="5170" w:hanging="361"/>
      </w:pPr>
      <w:rPr>
        <w:rFonts w:hint="default"/>
        <w:lang w:val="es-ES" w:eastAsia="en-US" w:bidi="ar-SA"/>
      </w:rPr>
    </w:lvl>
    <w:lvl w:ilvl="6" w:tplc="87F2DE70">
      <w:numFmt w:val="bullet"/>
      <w:lvlText w:val="•"/>
      <w:lvlJc w:val="left"/>
      <w:pPr>
        <w:ind w:left="6008" w:hanging="361"/>
      </w:pPr>
      <w:rPr>
        <w:rFonts w:hint="default"/>
        <w:lang w:val="es-ES" w:eastAsia="en-US" w:bidi="ar-SA"/>
      </w:rPr>
    </w:lvl>
    <w:lvl w:ilvl="7" w:tplc="2E909536">
      <w:numFmt w:val="bullet"/>
      <w:lvlText w:val="•"/>
      <w:lvlJc w:val="left"/>
      <w:pPr>
        <w:ind w:left="6846" w:hanging="361"/>
      </w:pPr>
      <w:rPr>
        <w:rFonts w:hint="default"/>
        <w:lang w:val="es-ES" w:eastAsia="en-US" w:bidi="ar-SA"/>
      </w:rPr>
    </w:lvl>
    <w:lvl w:ilvl="8" w:tplc="D5C0DEEC">
      <w:numFmt w:val="bullet"/>
      <w:lvlText w:val="•"/>
      <w:lvlJc w:val="left"/>
      <w:pPr>
        <w:ind w:left="7684" w:hanging="361"/>
      </w:pPr>
      <w:rPr>
        <w:rFonts w:hint="default"/>
        <w:lang w:val="es-ES" w:eastAsia="en-US" w:bidi="ar-S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443"/>
    <w:rsid w:val="00066D6C"/>
    <w:rsid w:val="0009008E"/>
    <w:rsid w:val="000E63D8"/>
    <w:rsid w:val="003E1864"/>
    <w:rsid w:val="004B7125"/>
    <w:rsid w:val="004D0443"/>
    <w:rsid w:val="005D1EBD"/>
    <w:rsid w:val="005E5BC2"/>
    <w:rsid w:val="00611298"/>
    <w:rsid w:val="006321D3"/>
    <w:rsid w:val="00635C07"/>
    <w:rsid w:val="00667CD2"/>
    <w:rsid w:val="006F2732"/>
    <w:rsid w:val="00795DEE"/>
    <w:rsid w:val="008723BD"/>
    <w:rsid w:val="008738AE"/>
    <w:rsid w:val="009870E1"/>
    <w:rsid w:val="009C472A"/>
    <w:rsid w:val="009D54BD"/>
    <w:rsid w:val="00A67E63"/>
    <w:rsid w:val="00AB591A"/>
    <w:rsid w:val="00AB5DE9"/>
    <w:rsid w:val="00AF6941"/>
    <w:rsid w:val="00B21F7F"/>
    <w:rsid w:val="00C6503D"/>
    <w:rsid w:val="00C738CE"/>
    <w:rsid w:val="00CC7252"/>
    <w:rsid w:val="00CE39C3"/>
    <w:rsid w:val="00D40900"/>
    <w:rsid w:val="00D60025"/>
    <w:rsid w:val="00DA3067"/>
    <w:rsid w:val="00DC7783"/>
    <w:rsid w:val="00DE0C0D"/>
    <w:rsid w:val="00E01BF5"/>
    <w:rsid w:val="00E15EED"/>
    <w:rsid w:val="00EB102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37B8"/>
  <w15:docId w15:val="{7C3F68D0-CD3E-4333-9119-E4652098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rPr>
      <w:rFonts w:ascii="Times New Roman" w:eastAsia="Times New Roman" w:hAnsi="Times New Roman" w:cs="Times New Roman"/>
      <w:color w:val="000000"/>
    </w:rPr>
  </w:style>
  <w:style w:type="paragraph" w:styleId="Ttulo2">
    <w:name w:val="heading 2"/>
    <w:basedOn w:val="Normal"/>
    <w:next w:val="Normal"/>
    <w:uiPriority w:val="9"/>
    <w:semiHidden/>
    <w:unhideWhenUsed/>
    <w:qFormat/>
    <w:pPr>
      <w:keepNext/>
      <w:outlineLvl w:val="1"/>
    </w:pPr>
    <w:rPr>
      <w:rFonts w:ascii="Times New Roman" w:eastAsia="Times New Roman" w:hAnsi="Times New Roman" w:cs="Times New Roman"/>
      <w:color w:val="00000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color w:val="000000"/>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table" w:customStyle="1" w:styleId="TableNormald">
    <w:name w:val="Table Normal"/>
    <w:uiPriority w:val="2"/>
    <w:qFormat/>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d"/>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9573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7344"/>
    <w:rPr>
      <w:rFonts w:ascii="Segoe UI" w:hAnsi="Segoe UI" w:cs="Segoe UI"/>
      <w:sz w:val="18"/>
      <w:szCs w:val="18"/>
    </w:rPr>
  </w:style>
  <w:style w:type="paragraph" w:styleId="Revisin">
    <w:name w:val="Revision"/>
    <w:hidden/>
    <w:uiPriority w:val="99"/>
    <w:semiHidden/>
    <w:rsid w:val="00957344"/>
  </w:style>
  <w:style w:type="paragraph" w:styleId="Encabezado">
    <w:name w:val="header"/>
    <w:basedOn w:val="Normal"/>
    <w:link w:val="EncabezadoCar"/>
    <w:uiPriority w:val="99"/>
    <w:unhideWhenUsed/>
    <w:rsid w:val="005240A3"/>
    <w:pPr>
      <w:tabs>
        <w:tab w:val="center" w:pos="4419"/>
        <w:tab w:val="right" w:pos="8838"/>
      </w:tabs>
    </w:pPr>
  </w:style>
  <w:style w:type="character" w:customStyle="1" w:styleId="EncabezadoCar">
    <w:name w:val="Encabezado Car"/>
    <w:basedOn w:val="Fuentedeprrafopredeter"/>
    <w:link w:val="Encabezado"/>
    <w:uiPriority w:val="99"/>
    <w:rsid w:val="005240A3"/>
  </w:style>
  <w:style w:type="paragraph" w:styleId="Piedepgina">
    <w:name w:val="footer"/>
    <w:basedOn w:val="Normal"/>
    <w:link w:val="PiedepginaCar"/>
    <w:uiPriority w:val="99"/>
    <w:unhideWhenUsed/>
    <w:rsid w:val="005240A3"/>
    <w:pPr>
      <w:tabs>
        <w:tab w:val="center" w:pos="4419"/>
        <w:tab w:val="right" w:pos="8838"/>
      </w:tabs>
    </w:pPr>
  </w:style>
  <w:style w:type="character" w:customStyle="1" w:styleId="PiedepginaCar">
    <w:name w:val="Pie de página Car"/>
    <w:basedOn w:val="Fuentedeprrafopredeter"/>
    <w:link w:val="Piedepgina"/>
    <w:uiPriority w:val="99"/>
    <w:rsid w:val="005240A3"/>
  </w:style>
  <w:style w:type="table" w:customStyle="1" w:styleId="a0">
    <w:basedOn w:val="TableNormald"/>
    <w:tblPr>
      <w:tblStyleRowBandSize w:val="1"/>
      <w:tblStyleColBandSize w:val="1"/>
      <w:tblCellMar>
        <w:left w:w="70" w:type="dxa"/>
        <w:right w:w="70" w:type="dxa"/>
      </w:tblCellMar>
    </w:tblPr>
  </w:style>
  <w:style w:type="table" w:customStyle="1" w:styleId="a1">
    <w:basedOn w:val="TableNormald"/>
    <w:tblPr>
      <w:tblStyleRowBandSize w:val="1"/>
      <w:tblStyleColBandSize w:val="1"/>
      <w:tblCellMar>
        <w:left w:w="70" w:type="dxa"/>
        <w:right w:w="70" w:type="dxa"/>
      </w:tblCellMar>
    </w:tblPr>
  </w:style>
  <w:style w:type="table" w:customStyle="1" w:styleId="a2">
    <w:basedOn w:val="TableNormald"/>
    <w:tblPr>
      <w:tblStyleRowBandSize w:val="1"/>
      <w:tblStyleColBandSize w:val="1"/>
      <w:tblCellMar>
        <w:top w:w="100" w:type="dxa"/>
        <w:left w:w="100" w:type="dxa"/>
        <w:bottom w:w="100" w:type="dxa"/>
        <w:right w:w="100" w:type="dxa"/>
      </w:tblCellMar>
    </w:tblPr>
  </w:style>
  <w:style w:type="table" w:customStyle="1" w:styleId="a3">
    <w:basedOn w:val="TableNormald"/>
    <w:tblPr>
      <w:tblStyleRowBandSize w:val="1"/>
      <w:tblStyleColBandSize w:val="1"/>
      <w:tblCellMar>
        <w:left w:w="70" w:type="dxa"/>
        <w:right w:w="70" w:type="dxa"/>
      </w:tblCellMar>
    </w:tblPr>
  </w:style>
  <w:style w:type="table" w:customStyle="1" w:styleId="a4">
    <w:basedOn w:val="TableNormald"/>
    <w:tblPr>
      <w:tblStyleRowBandSize w:val="1"/>
      <w:tblStyleColBandSize w:val="1"/>
      <w:tblCellMar>
        <w:left w:w="70" w:type="dxa"/>
        <w:right w:w="70" w:type="dxa"/>
      </w:tblCellMar>
    </w:tblPr>
  </w:style>
  <w:style w:type="table" w:customStyle="1" w:styleId="a5">
    <w:basedOn w:val="TableNormald"/>
    <w:tblPr>
      <w:tblStyleRowBandSize w:val="1"/>
      <w:tblStyleColBandSize w:val="1"/>
      <w:tblCellMar>
        <w:left w:w="70" w:type="dxa"/>
        <w:right w:w="70" w:type="dxa"/>
      </w:tblCellMar>
    </w:tblPr>
  </w:style>
  <w:style w:type="table" w:customStyle="1" w:styleId="a6">
    <w:basedOn w:val="TableNormald"/>
    <w:tblPr>
      <w:tblStyleRowBandSize w:val="1"/>
      <w:tblStyleColBandSize w:val="1"/>
      <w:tblCellMar>
        <w:left w:w="70" w:type="dxa"/>
        <w:right w:w="70" w:type="dxa"/>
      </w:tblCellMar>
    </w:tblPr>
  </w:style>
  <w:style w:type="table" w:customStyle="1" w:styleId="a7">
    <w:basedOn w:val="TableNormald"/>
    <w:tblPr>
      <w:tblStyleRowBandSize w:val="1"/>
      <w:tblStyleColBandSize w:val="1"/>
      <w:tblCellMar>
        <w:top w:w="100" w:type="dxa"/>
        <w:left w:w="100" w:type="dxa"/>
        <w:bottom w:w="100" w:type="dxa"/>
        <w:right w:w="100" w:type="dxa"/>
      </w:tblCellMar>
    </w:tblPr>
  </w:style>
  <w:style w:type="table" w:customStyle="1" w:styleId="a8">
    <w:basedOn w:val="TableNormald"/>
    <w:tblPr>
      <w:tblStyleRowBandSize w:val="1"/>
      <w:tblStyleColBandSize w:val="1"/>
      <w:tblCellMar>
        <w:top w:w="100" w:type="dxa"/>
        <w:left w:w="100" w:type="dxa"/>
        <w:bottom w:w="100" w:type="dxa"/>
        <w:right w:w="100" w:type="dxa"/>
      </w:tblCellMar>
    </w:tblPr>
  </w:style>
  <w:style w:type="table" w:customStyle="1" w:styleId="a9">
    <w:basedOn w:val="TableNormald"/>
    <w:tblPr>
      <w:tblStyleRowBandSize w:val="1"/>
      <w:tblStyleColBandSize w:val="1"/>
      <w:tblCellMar>
        <w:left w:w="70" w:type="dxa"/>
        <w:right w:w="70" w:type="dxa"/>
      </w:tblCellMar>
    </w:tblPr>
  </w:style>
  <w:style w:type="table" w:customStyle="1" w:styleId="aa">
    <w:basedOn w:val="TableNormal6"/>
    <w:tblPr>
      <w:tblStyleRowBandSize w:val="1"/>
      <w:tblStyleColBandSize w:val="1"/>
      <w:tblCellMar>
        <w:top w:w="100" w:type="dxa"/>
        <w:left w:w="100" w:type="dxa"/>
        <w:bottom w:w="100" w:type="dxa"/>
        <w:right w:w="100" w:type="dxa"/>
      </w:tblCellMar>
    </w:tblPr>
  </w:style>
  <w:style w:type="table" w:customStyle="1" w:styleId="ab">
    <w:basedOn w:val="TableNormal6"/>
    <w:tblPr>
      <w:tblStyleRowBandSize w:val="1"/>
      <w:tblStyleColBandSize w:val="1"/>
      <w:tblCellMar>
        <w:top w:w="100" w:type="dxa"/>
        <w:left w:w="70" w:type="dxa"/>
        <w:bottom w:w="100" w:type="dxa"/>
        <w:right w:w="70" w:type="dxa"/>
      </w:tblCellMar>
    </w:tblPr>
  </w:style>
  <w:style w:type="table" w:customStyle="1" w:styleId="ac">
    <w:basedOn w:val="TableNormal6"/>
    <w:tblPr>
      <w:tblStyleRowBandSize w:val="1"/>
      <w:tblStyleColBandSize w:val="1"/>
      <w:tblCellMar>
        <w:top w:w="100" w:type="dxa"/>
        <w:left w:w="70" w:type="dxa"/>
        <w:bottom w:w="100" w:type="dxa"/>
        <w:right w:w="70" w:type="dxa"/>
      </w:tblCellMar>
    </w:tblPr>
  </w:style>
  <w:style w:type="table" w:customStyle="1" w:styleId="ad">
    <w:basedOn w:val="TableNormal6"/>
    <w:tblPr>
      <w:tblStyleRowBandSize w:val="1"/>
      <w:tblStyleColBandSize w:val="1"/>
      <w:tblCellMar>
        <w:top w:w="100" w:type="dxa"/>
        <w:left w:w="100" w:type="dxa"/>
        <w:bottom w:w="100" w:type="dxa"/>
        <w:right w:w="100" w:type="dxa"/>
      </w:tblCellMar>
    </w:tblPr>
  </w:style>
  <w:style w:type="table" w:customStyle="1" w:styleId="ae">
    <w:basedOn w:val="TableNormal6"/>
    <w:tblPr>
      <w:tblStyleRowBandSize w:val="1"/>
      <w:tblStyleColBandSize w:val="1"/>
      <w:tblCellMar>
        <w:top w:w="100" w:type="dxa"/>
        <w:left w:w="100" w:type="dxa"/>
        <w:bottom w:w="100" w:type="dxa"/>
        <w:right w:w="100" w:type="dxa"/>
      </w:tblCellMar>
    </w:tblPr>
  </w:style>
  <w:style w:type="table" w:customStyle="1" w:styleId="af">
    <w:basedOn w:val="TableNormal6"/>
    <w:tblPr>
      <w:tblStyleRowBandSize w:val="1"/>
      <w:tblStyleColBandSize w:val="1"/>
      <w:tblCellMar>
        <w:top w:w="100" w:type="dxa"/>
        <w:left w:w="100" w:type="dxa"/>
        <w:bottom w:w="100" w:type="dxa"/>
        <w:right w:w="100" w:type="dxa"/>
      </w:tblCellMar>
    </w:tblPr>
  </w:style>
  <w:style w:type="table" w:customStyle="1" w:styleId="af0">
    <w:basedOn w:val="TableNormal6"/>
    <w:tblPr>
      <w:tblStyleRowBandSize w:val="1"/>
      <w:tblStyleColBandSize w:val="1"/>
      <w:tblCellMar>
        <w:top w:w="100" w:type="dxa"/>
        <w:left w:w="100" w:type="dxa"/>
        <w:bottom w:w="100" w:type="dxa"/>
        <w:right w:w="100" w:type="dxa"/>
      </w:tblCellMar>
    </w:tblPr>
  </w:style>
  <w:style w:type="table" w:customStyle="1" w:styleId="af1">
    <w:basedOn w:val="TableNormal6"/>
    <w:tblPr>
      <w:tblStyleRowBandSize w:val="1"/>
      <w:tblStyleColBandSize w:val="1"/>
      <w:tblCellMar>
        <w:top w:w="100" w:type="dxa"/>
        <w:left w:w="70" w:type="dxa"/>
        <w:bottom w:w="100" w:type="dxa"/>
        <w:right w:w="70" w:type="dxa"/>
      </w:tblCellMar>
    </w:tblPr>
  </w:style>
  <w:style w:type="table" w:customStyle="1" w:styleId="af2">
    <w:basedOn w:val="TableNormal6"/>
    <w:tblPr>
      <w:tblStyleRowBandSize w:val="1"/>
      <w:tblStyleColBandSize w:val="1"/>
      <w:tblCellMar>
        <w:top w:w="100" w:type="dxa"/>
        <w:left w:w="70" w:type="dxa"/>
        <w:bottom w:w="100" w:type="dxa"/>
        <w:right w:w="70" w:type="dxa"/>
      </w:tblCellMar>
    </w:tblPr>
  </w:style>
  <w:style w:type="table" w:customStyle="1" w:styleId="af3">
    <w:basedOn w:val="TableNormal6"/>
    <w:tblPr>
      <w:tblStyleRowBandSize w:val="1"/>
      <w:tblStyleColBandSize w:val="1"/>
      <w:tblCellMar>
        <w:top w:w="100" w:type="dxa"/>
        <w:left w:w="100" w:type="dxa"/>
        <w:bottom w:w="100" w:type="dxa"/>
        <w:right w:w="100" w:type="dxa"/>
      </w:tblCellMar>
    </w:tblPr>
  </w:style>
  <w:style w:type="table" w:customStyle="1" w:styleId="af4">
    <w:basedOn w:val="TableNormal6"/>
    <w:tblPr>
      <w:tblStyleRowBandSize w:val="1"/>
      <w:tblStyleColBandSize w:val="1"/>
      <w:tblCellMar>
        <w:top w:w="100" w:type="dxa"/>
        <w:left w:w="100" w:type="dxa"/>
        <w:bottom w:w="100" w:type="dxa"/>
        <w:right w:w="100" w:type="dxa"/>
      </w:tblCellMar>
    </w:tblPr>
  </w:style>
  <w:style w:type="table" w:customStyle="1" w:styleId="af5">
    <w:basedOn w:val="TableNormal6"/>
    <w:tblPr>
      <w:tblStyleRowBandSize w:val="1"/>
      <w:tblStyleColBandSize w:val="1"/>
      <w:tblCellMar>
        <w:top w:w="100" w:type="dxa"/>
        <w:left w:w="100" w:type="dxa"/>
        <w:bottom w:w="100" w:type="dxa"/>
        <w:right w:w="100" w:type="dxa"/>
      </w:tblCellMar>
    </w:tblPr>
  </w:style>
  <w:style w:type="table" w:customStyle="1" w:styleId="af6">
    <w:basedOn w:val="TableNormal6"/>
    <w:tblPr>
      <w:tblStyleRowBandSize w:val="1"/>
      <w:tblStyleColBandSize w:val="1"/>
      <w:tblCellMar>
        <w:top w:w="100" w:type="dxa"/>
        <w:left w:w="100" w:type="dxa"/>
        <w:bottom w:w="100" w:type="dxa"/>
        <w:right w:w="100" w:type="dxa"/>
      </w:tblCellMar>
    </w:tblPr>
  </w:style>
  <w:style w:type="table" w:customStyle="1" w:styleId="af7">
    <w:basedOn w:val="TableNormal6"/>
    <w:tblPr>
      <w:tblStyleRowBandSize w:val="1"/>
      <w:tblStyleColBandSize w:val="1"/>
      <w:tblCellMar>
        <w:top w:w="100" w:type="dxa"/>
        <w:left w:w="100" w:type="dxa"/>
        <w:bottom w:w="100" w:type="dxa"/>
        <w:right w:w="100" w:type="dxa"/>
      </w:tblCellMar>
    </w:tblPr>
  </w:style>
  <w:style w:type="table" w:customStyle="1" w:styleId="af8">
    <w:basedOn w:val="TableNormal6"/>
    <w:tblPr>
      <w:tblStyleRowBandSize w:val="1"/>
      <w:tblStyleColBandSize w:val="1"/>
      <w:tblCellMar>
        <w:top w:w="100" w:type="dxa"/>
        <w:left w:w="70" w:type="dxa"/>
        <w:bottom w:w="100" w:type="dxa"/>
        <w:right w:w="70" w:type="dxa"/>
      </w:tblCellMar>
    </w:tblPr>
  </w:style>
  <w:style w:type="table" w:customStyle="1" w:styleId="af9">
    <w:basedOn w:val="TableNormal6"/>
    <w:tblPr>
      <w:tblStyleRowBandSize w:val="1"/>
      <w:tblStyleColBandSize w:val="1"/>
      <w:tblCellMar>
        <w:top w:w="100" w:type="dxa"/>
        <w:left w:w="70" w:type="dxa"/>
        <w:bottom w:w="100" w:type="dxa"/>
        <w:right w:w="70" w:type="dxa"/>
      </w:tblCellMar>
    </w:tblPr>
  </w:style>
  <w:style w:type="table" w:customStyle="1" w:styleId="afa">
    <w:basedOn w:val="TableNormal6"/>
    <w:tblPr>
      <w:tblStyleRowBandSize w:val="1"/>
      <w:tblStyleColBandSize w:val="1"/>
      <w:tblCellMar>
        <w:top w:w="100" w:type="dxa"/>
        <w:left w:w="70" w:type="dxa"/>
        <w:bottom w:w="100" w:type="dxa"/>
        <w:right w:w="70" w:type="dxa"/>
      </w:tblCellMar>
    </w:tblPr>
  </w:style>
  <w:style w:type="table" w:customStyle="1" w:styleId="afb">
    <w:basedOn w:val="TableNormal6"/>
    <w:tblPr>
      <w:tblStyleRowBandSize w:val="1"/>
      <w:tblStyleColBandSize w:val="1"/>
      <w:tblCellMar>
        <w:top w:w="100" w:type="dxa"/>
        <w:left w:w="70" w:type="dxa"/>
        <w:bottom w:w="100" w:type="dxa"/>
        <w:right w:w="70" w:type="dxa"/>
      </w:tblCellMar>
    </w:tblPr>
  </w:style>
  <w:style w:type="table" w:customStyle="1" w:styleId="afc">
    <w:basedOn w:val="TableNormal6"/>
    <w:tblPr>
      <w:tblStyleRowBandSize w:val="1"/>
      <w:tblStyleColBandSize w:val="1"/>
      <w:tblCellMar>
        <w:top w:w="100" w:type="dxa"/>
        <w:left w:w="70" w:type="dxa"/>
        <w:bottom w:w="100" w:type="dxa"/>
        <w:right w:w="70" w:type="dxa"/>
      </w:tblCellMar>
    </w:tblPr>
  </w:style>
  <w:style w:type="table" w:customStyle="1" w:styleId="afd">
    <w:basedOn w:val="TableNormal6"/>
    <w:tblPr>
      <w:tblStyleRowBandSize w:val="1"/>
      <w:tblStyleColBandSize w:val="1"/>
      <w:tblCellMar>
        <w:top w:w="100" w:type="dxa"/>
        <w:left w:w="70" w:type="dxa"/>
        <w:bottom w:w="100" w:type="dxa"/>
        <w:right w:w="70" w:type="dxa"/>
      </w:tblCellMar>
    </w:tblPr>
  </w:style>
  <w:style w:type="table" w:customStyle="1" w:styleId="afe">
    <w:basedOn w:val="TableNormal6"/>
    <w:tblPr>
      <w:tblStyleRowBandSize w:val="1"/>
      <w:tblStyleColBandSize w:val="1"/>
      <w:tblCellMar>
        <w:top w:w="100" w:type="dxa"/>
        <w:left w:w="70" w:type="dxa"/>
        <w:bottom w:w="100" w:type="dxa"/>
        <w:right w:w="70" w:type="dxa"/>
      </w:tblCellMar>
    </w:tblPr>
  </w:style>
  <w:style w:type="table" w:customStyle="1" w:styleId="aff">
    <w:basedOn w:val="TableNormal0"/>
    <w:tblPr>
      <w:tblStyleRowBandSize w:val="1"/>
      <w:tblStyleColBandSize w:val="1"/>
      <w:tblCellMar>
        <w:top w:w="100" w:type="dxa"/>
        <w:left w:w="70" w:type="dxa"/>
        <w:bottom w:w="100" w:type="dxa"/>
        <w:right w:w="70" w:type="dxa"/>
      </w:tblCellMar>
    </w:tblPr>
  </w:style>
  <w:style w:type="table" w:customStyle="1" w:styleId="aff0">
    <w:basedOn w:val="TableNormal0"/>
    <w:tblPr>
      <w:tblStyleRowBandSize w:val="1"/>
      <w:tblStyleColBandSize w:val="1"/>
      <w:tblCellMar>
        <w:top w:w="100" w:type="dxa"/>
        <w:left w:w="70" w:type="dxa"/>
        <w:bottom w:w="100" w:type="dxa"/>
        <w:right w:w="70" w:type="dxa"/>
      </w:tblCellMar>
    </w:tblPr>
  </w:style>
  <w:style w:type="table" w:customStyle="1" w:styleId="aff1">
    <w:basedOn w:val="TableNormal0"/>
    <w:tblPr>
      <w:tblStyleRowBandSize w:val="1"/>
      <w:tblStyleColBandSize w:val="1"/>
      <w:tblCellMar>
        <w:top w:w="100" w:type="dxa"/>
        <w:left w:w="70" w:type="dxa"/>
        <w:bottom w:w="100" w:type="dxa"/>
        <w:right w:w="70" w:type="dxa"/>
      </w:tblCellMar>
    </w:tblPr>
  </w:style>
  <w:style w:type="table" w:customStyle="1" w:styleId="aff2">
    <w:basedOn w:val="TableNormal0"/>
    <w:tblPr>
      <w:tblStyleRowBandSize w:val="1"/>
      <w:tblStyleColBandSize w:val="1"/>
      <w:tblCellMar>
        <w:top w:w="100" w:type="dxa"/>
        <w:left w:w="70" w:type="dxa"/>
        <w:bottom w:w="100" w:type="dxa"/>
        <w:right w:w="70" w:type="dxa"/>
      </w:tblCellMar>
    </w:tblPr>
  </w:style>
  <w:style w:type="table" w:customStyle="1" w:styleId="aff3">
    <w:basedOn w:val="TableNormal0"/>
    <w:tblPr>
      <w:tblStyleRowBandSize w:val="1"/>
      <w:tblStyleColBandSize w:val="1"/>
      <w:tblCellMar>
        <w:top w:w="100" w:type="dxa"/>
        <w:left w:w="70" w:type="dxa"/>
        <w:bottom w:w="100" w:type="dxa"/>
        <w:right w:w="70" w:type="dxa"/>
      </w:tblCellMar>
    </w:tblPr>
  </w:style>
  <w:style w:type="table" w:customStyle="1" w:styleId="aff4">
    <w:basedOn w:val="TableNormal0"/>
    <w:tblPr>
      <w:tblStyleRowBandSize w:val="1"/>
      <w:tblStyleColBandSize w:val="1"/>
      <w:tblCellMar>
        <w:top w:w="100" w:type="dxa"/>
        <w:left w:w="70" w:type="dxa"/>
        <w:bottom w:w="100" w:type="dxa"/>
        <w:right w:w="70" w:type="dxa"/>
      </w:tblCellMar>
    </w:tblPr>
  </w:style>
  <w:style w:type="paragraph" w:styleId="Textoindependiente">
    <w:name w:val="Body Text"/>
    <w:basedOn w:val="Normal"/>
    <w:link w:val="TextoindependienteCar"/>
    <w:uiPriority w:val="1"/>
    <w:qFormat/>
    <w:rsid w:val="00DE0C0D"/>
    <w:pPr>
      <w:widowControl w:val="0"/>
      <w:autoSpaceDE w:val="0"/>
      <w:autoSpaceDN w:val="0"/>
    </w:pPr>
    <w:rPr>
      <w:rFonts w:ascii="Times New Roman" w:eastAsia="Times New Roman" w:hAnsi="Times New Roman" w:cs="Times New Roman"/>
      <w:sz w:val="22"/>
      <w:szCs w:val="22"/>
      <w:lang w:eastAsia="en-US"/>
    </w:rPr>
  </w:style>
  <w:style w:type="character" w:customStyle="1" w:styleId="TextoindependienteCar">
    <w:name w:val="Texto independiente Car"/>
    <w:basedOn w:val="Fuentedeprrafopredeter"/>
    <w:link w:val="Textoindependiente"/>
    <w:uiPriority w:val="1"/>
    <w:rsid w:val="00DE0C0D"/>
    <w:rPr>
      <w:rFonts w:ascii="Times New Roman" w:eastAsia="Times New Roman" w:hAnsi="Times New Roman" w:cs="Times New Roman"/>
      <w:sz w:val="22"/>
      <w:szCs w:val="22"/>
      <w:lang w:eastAsia="en-US"/>
    </w:rPr>
  </w:style>
  <w:style w:type="paragraph" w:styleId="Prrafodelista">
    <w:name w:val="List Paragraph"/>
    <w:basedOn w:val="Normal"/>
    <w:uiPriority w:val="1"/>
    <w:qFormat/>
    <w:rsid w:val="00DE0C0D"/>
    <w:pPr>
      <w:widowControl w:val="0"/>
      <w:autoSpaceDE w:val="0"/>
      <w:autoSpaceDN w:val="0"/>
      <w:ind w:left="978" w:hanging="361"/>
      <w:jc w:val="both"/>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066D6C"/>
    <w:pPr>
      <w:widowControl w:val="0"/>
      <w:autoSpaceDE w:val="0"/>
      <w:autoSpaceDN w:val="0"/>
      <w:spacing w:before="133"/>
      <w:ind w:left="69"/>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8whUjh0MVDqEYABzlKG2WvzYZg==">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3086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ALEXANDER MARTINEZ LOPEZ</dc:creator>
  <cp:lastModifiedBy>MORRISON TARQUINO DAZA</cp:lastModifiedBy>
  <cp:revision>2</cp:revision>
  <dcterms:created xsi:type="dcterms:W3CDTF">2025-06-05T13:09:00Z</dcterms:created>
  <dcterms:modified xsi:type="dcterms:W3CDTF">2025-06-05T13:09:00Z</dcterms:modified>
</cp:coreProperties>
</file>